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47A80C" w14:textId="77777777" w:rsidR="000E021E" w:rsidRPr="000E021E" w:rsidRDefault="000E021E" w:rsidP="000E021E">
      <w:r w:rsidRPr="000E021E">
        <w:t>Dear Dr. [insert name]</w:t>
      </w:r>
    </w:p>
    <w:p w14:paraId="7106BA7C" w14:textId="77777777" w:rsidR="000E021E" w:rsidRPr="000E021E" w:rsidRDefault="000E021E" w:rsidP="000E021E">
      <w:r w:rsidRPr="000E021E">
        <w:t>Thank you for taking the time to read this letter and for your openness to dialogue between physician and patient. I sincerely appreciate the care you provide and your willingness to consider perspectives that may differ from your own.</w:t>
      </w:r>
    </w:p>
    <w:p w14:paraId="2A2D1711" w14:textId="77777777" w:rsidR="000E021E" w:rsidRPr="000E021E" w:rsidRDefault="000E021E" w:rsidP="000E021E">
      <w:r w:rsidRPr="000E021E">
        <w:t>I want to be clear that I am not writing with the expectation of changing your professional stance regarding the Gardasil vaccine. Rather, my intent is to share an alternate patient viewpoint and to provide context for why some patients—myself included—approach this vaccine with caution. My hope is that this perspective may help facilitate informed, respectful conversations with patients who express similar concerns.</w:t>
      </w:r>
    </w:p>
    <w:p w14:paraId="1EDAAFEF" w14:textId="77777777" w:rsidR="000E021E" w:rsidRPr="000E021E" w:rsidRDefault="000E021E" w:rsidP="000E021E">
      <w:r w:rsidRPr="000E021E">
        <w:t>My primary concern relates to how Gardasil’s efficacy is commonly communicated. The vaccine is frequently described as preventing cervical cancer. To my understanding, Gardasil does not prevent cervical cancer itself; rather, it targets nine specific HPV strains out of more than 200 known types, only some of which are associated with cervical cancer. Importantly, the majority of HPV infections—including those involving high-risk strains—are transient and resolve spontaneously without intervention.¹²</w:t>
      </w:r>
    </w:p>
    <w:p w14:paraId="469C259C" w14:textId="77777777" w:rsidR="000E021E" w:rsidRPr="000E021E" w:rsidRDefault="000E021E" w:rsidP="000E021E">
      <w:r w:rsidRPr="000E021E">
        <w:t xml:space="preserve">Relatedly, Gardasil was approved based on its effect on </w:t>
      </w:r>
      <w:r w:rsidRPr="000E021E">
        <w:rPr>
          <w:b/>
          <w:bCs/>
        </w:rPr>
        <w:t>surrogate endpoints</w:t>
      </w:r>
      <w:r w:rsidRPr="000E021E">
        <w:t>—specifically, certain cervical lesions and genital warts—rather than on demonstrated cancer prevention.³ Many of these lesions, including some higher-grade lesions, are known to regress on their own under observation.⁴ Because progression from persistent HPV infection to cancer can take decades, long-term cancer outcomes cannot yet be directly measured, making absolute claims of cancer prevention premature by definition.⁵</w:t>
      </w:r>
    </w:p>
    <w:p w14:paraId="6F5BBDF1" w14:textId="77777777" w:rsidR="000E021E" w:rsidRPr="000E021E" w:rsidRDefault="000E021E" w:rsidP="000E021E">
      <w:r w:rsidRPr="000E021E">
        <w:t xml:space="preserve">In addition, FDA review documents from the original Gardasil approval process identified </w:t>
      </w:r>
      <w:r w:rsidRPr="000E021E">
        <w:rPr>
          <w:b/>
          <w:bCs/>
        </w:rPr>
        <w:t>reduced—and in some subgroups, negative—efficacy</w:t>
      </w:r>
      <w:r w:rsidRPr="000E021E">
        <w:t xml:space="preserve"> among individuals who had evidence of prior exposure to vaccine-relevant HPV types at the time of vaccination. In particular, subjects who were both seropositive and PCR-positive for HPV 16 or 18 experienced </w:t>
      </w:r>
      <w:r w:rsidRPr="000E021E">
        <w:rPr>
          <w:b/>
          <w:bCs/>
        </w:rPr>
        <w:t>higher rates of CIN 2/3 or worse</w:t>
      </w:r>
      <w:r w:rsidRPr="000E021E">
        <w:t xml:space="preserve"> compared to unvaccinated controls, a finding acknowledged in FDA advisory committee materials.⁶ This subgroup analysis underscores the importance of carefully distinguishing between pre-exposure and post-exposure risk–benefit profiles in patient counseling.</w:t>
      </w:r>
    </w:p>
    <w:p w14:paraId="2D92B273" w14:textId="77777777" w:rsidR="000E021E" w:rsidRPr="000E021E" w:rsidRDefault="000E021E" w:rsidP="000E021E">
      <w:r w:rsidRPr="000E021E">
        <w:t>I am also concerned about statements asserting that Gardasil is unequivocally “safe and effective.” While many individuals tolerate the vaccine without serious adverse effects, there are documented cases of severe injury and death following vaccination, including cases compensated through the National Vaccine Injury Compensation Program.⁷ For patients evaluating risk–benefit tradeoffs, awareness of these outcomes is a meaningful component of informed consent.</w:t>
      </w:r>
    </w:p>
    <w:p w14:paraId="6FD4AED4" w14:textId="77777777" w:rsidR="000E021E" w:rsidRPr="000E021E" w:rsidRDefault="000E021E" w:rsidP="000E021E">
      <w:r w:rsidRPr="000E021E">
        <w:lastRenderedPageBreak/>
        <w:t xml:space="preserve">Further, regulatory and internal sponsor documents acknowledge that Gardasil’s clinical development program </w:t>
      </w:r>
      <w:r w:rsidRPr="000E021E">
        <w:rPr>
          <w:b/>
          <w:bCs/>
        </w:rPr>
        <w:t>was not designed to demonstrate prevention of cervical or other cancers</w:t>
      </w:r>
      <w:r w:rsidRPr="000E021E">
        <w:t>, and that conclusions regarding cancer prevention rely on inference from surrogate markers and epidemiologic association rather than direct evidence of reduced cancer incidence.⁸ This limitation is central to how efficacy claims are framed and communicated to patients.</w:t>
      </w:r>
    </w:p>
    <w:p w14:paraId="4D43FF0A" w14:textId="77777777" w:rsidR="000E021E" w:rsidRPr="000E021E" w:rsidRDefault="000E021E" w:rsidP="000E021E">
      <w:r w:rsidRPr="000E021E">
        <w:t>In addition, some peer-reviewed literature raises questions about trial design and reporting, including the use of aluminum-containing adjuvants as comparators rather than inert placebos, which complicates interpretation of both safety and efficacy data.⁹ Independent researchers have called for access to raw trial data to allow meaningful external reassessment.¹⁰</w:t>
      </w:r>
    </w:p>
    <w:p w14:paraId="449BFE92" w14:textId="77777777" w:rsidR="000E021E" w:rsidRPr="000E021E" w:rsidRDefault="000E021E" w:rsidP="000E021E">
      <w:r w:rsidRPr="000E021E">
        <w:t>Finally, broader issues of pharmaceutical trust also influence patient decision-making. Gardasil is manufactured by Merck, a company with a documented history of major regulatory and legal violations, most notably involving Vioxx.¹¹ While past misconduct does not automatically invalidate current products, it reasonably informs patient skepticism regarding long-term safety assurances.</w:t>
      </w:r>
    </w:p>
    <w:p w14:paraId="2F81FC02" w14:textId="77777777" w:rsidR="000E021E" w:rsidRPr="000E021E" w:rsidRDefault="000E021E" w:rsidP="000E021E">
      <w:r w:rsidRPr="000E021E">
        <w:t xml:space="preserve">Along with peer-reviewed studies and government epidemiological data, I am also including materials derived from publicly available legal filings and expert analyses compiled by </w:t>
      </w:r>
      <w:r w:rsidRPr="000E021E">
        <w:rPr>
          <w:b/>
          <w:bCs/>
        </w:rPr>
        <w:t>Wisner Baum</w:t>
      </w:r>
      <w:r w:rsidRPr="000E021E">
        <w:t>, including their Plaintiffs’ Position Statement. These materials draw from discovery documents, regulatory submissions, and sworn expert testimony and are included not for advocacy, but to provide additional context regarding trial design, safety signals, and post-marketing outcomes.¹²</w:t>
      </w:r>
    </w:p>
    <w:p w14:paraId="28ADB1D1" w14:textId="77777777" w:rsidR="000E021E" w:rsidRPr="000E021E" w:rsidRDefault="000E021E" w:rsidP="000E021E">
      <w:r w:rsidRPr="000E021E">
        <w:t>I offer these materials respectfully and without expectation, in the spirit of transparency and informed dialogue.</w:t>
      </w:r>
    </w:p>
    <w:p w14:paraId="2A8B77A4" w14:textId="77777777" w:rsidR="000E021E" w:rsidRPr="000E021E" w:rsidRDefault="000E021E" w:rsidP="000E021E">
      <w:r w:rsidRPr="000E021E">
        <w:t>Thank you again for your time, your professionalism, and your willingness to engage with perspectives that may differ from prevailing public health narratives.</w:t>
      </w:r>
    </w:p>
    <w:p w14:paraId="425AF6AA" w14:textId="77777777" w:rsidR="000E021E" w:rsidRDefault="000E021E"/>
    <w:p w14:paraId="12342629" w14:textId="354A63E8" w:rsidR="009C32B6" w:rsidRDefault="009C32B6">
      <w:r w:rsidRPr="009C32B6">
        <w:t>With respect,</w:t>
      </w:r>
      <w:r w:rsidRPr="009C32B6">
        <w:br/>
      </w:r>
      <w:r w:rsidRPr="009C32B6">
        <w:rPr>
          <w:b/>
          <w:bCs/>
        </w:rPr>
        <w:br/>
      </w:r>
    </w:p>
    <w:p w14:paraId="482E8977" w14:textId="77777777" w:rsidR="009C32B6" w:rsidRDefault="009C32B6"/>
    <w:p w14:paraId="12B40981" w14:textId="77777777" w:rsidR="009C32B6" w:rsidRPr="009C32B6" w:rsidRDefault="009C32B6" w:rsidP="009C32B6">
      <w:pPr>
        <w:rPr>
          <w:b/>
          <w:bCs/>
        </w:rPr>
      </w:pPr>
      <w:r w:rsidRPr="009C32B6">
        <w:rPr>
          <w:b/>
          <w:bCs/>
        </w:rPr>
        <w:t>Footnote Key  </w:t>
      </w:r>
    </w:p>
    <w:p w14:paraId="1FDD5B47" w14:textId="77777777" w:rsidR="009C32B6" w:rsidRPr="009C32B6" w:rsidRDefault="009C32B6" w:rsidP="009C32B6">
      <w:r w:rsidRPr="009C32B6">
        <w:rPr>
          <w:b/>
          <w:bCs/>
        </w:rPr>
        <w:lastRenderedPageBreak/>
        <w:t>¹</w:t>
      </w:r>
      <w:r w:rsidRPr="009C32B6">
        <w:t xml:space="preserve"> de Freitas AC, et al. </w:t>
      </w:r>
      <w:r w:rsidRPr="009C32B6">
        <w:rPr>
          <w:i/>
          <w:iCs/>
        </w:rPr>
        <w:t>Susceptibility to cervical cancer: An overview.</w:t>
      </w:r>
      <w:r w:rsidRPr="009C32B6">
        <w:t xml:space="preserve"> </w:t>
      </w:r>
      <w:r w:rsidRPr="009C32B6">
        <w:rPr>
          <w:b/>
          <w:bCs/>
        </w:rPr>
        <w:t>Gynecologic Oncology.</w:t>
      </w:r>
      <w:r w:rsidRPr="009C32B6">
        <w:t xml:space="preserve"> 2012;126(2):306–314.</w:t>
      </w:r>
      <w:r w:rsidRPr="009C32B6">
        <w:br/>
        <w:t>→ Reviews the natural history of HPV infection and notes that the majority of infections are transient and cleared by the immune system without clinical consequence.</w:t>
      </w:r>
    </w:p>
    <w:p w14:paraId="0A037C3A" w14:textId="77777777" w:rsidR="009C32B6" w:rsidRPr="009C32B6" w:rsidRDefault="009C32B6" w:rsidP="009C32B6">
      <w:r w:rsidRPr="009C32B6">
        <w:rPr>
          <w:b/>
          <w:bCs/>
        </w:rPr>
        <w:t>²</w:t>
      </w:r>
      <w:r w:rsidRPr="009C32B6">
        <w:t xml:space="preserve"> Riva K, Espinosa J. </w:t>
      </w:r>
      <w:r w:rsidRPr="009C32B6">
        <w:rPr>
          <w:i/>
          <w:iCs/>
        </w:rPr>
        <w:t>Has the HPV vaccine approval ushered in an era of over-prevention?</w:t>
      </w:r>
      <w:r w:rsidRPr="009C32B6">
        <w:t xml:space="preserve"> </w:t>
      </w:r>
      <w:r w:rsidRPr="009C32B6">
        <w:rPr>
          <w:b/>
          <w:bCs/>
        </w:rPr>
        <w:t>Journal of Scientific Practice and Integrity.</w:t>
      </w:r>
      <w:r w:rsidRPr="009C32B6">
        <w:t xml:space="preserve"> 2020;2(1).</w:t>
      </w:r>
      <w:r w:rsidRPr="009C32B6">
        <w:br/>
        <w:t>→ Discusses HPV strain diversity and limitations of vaccine strain coverage relative to oncogenic risk.</w:t>
      </w:r>
    </w:p>
    <w:p w14:paraId="42C170D9" w14:textId="77777777" w:rsidR="009C32B6" w:rsidRPr="009C32B6" w:rsidRDefault="009C32B6" w:rsidP="009C32B6">
      <w:r w:rsidRPr="009C32B6">
        <w:rPr>
          <w:b/>
          <w:bCs/>
        </w:rPr>
        <w:t>³</w:t>
      </w:r>
      <w:r w:rsidRPr="009C32B6">
        <w:t xml:space="preserve"> U.S. Food and Drug Administration (FDA). </w:t>
      </w:r>
      <w:r w:rsidRPr="009C32B6">
        <w:rPr>
          <w:i/>
          <w:iCs/>
        </w:rPr>
        <w:t>Gardasil (Human Papillomavirus Quadrivalent Vaccine) Clinical Review, BLA 125126.</w:t>
      </w:r>
      <w:r w:rsidRPr="009C32B6">
        <w:rPr>
          <w:i/>
          <w:iCs/>
        </w:rPr>
        <w:br/>
      </w:r>
      <w:r w:rsidRPr="009C32B6">
        <w:t>→ Documents that Gardasil approval was based on surrogate endpoints (CIN lesions and genital warts), not cancer outcomes.</w:t>
      </w:r>
    </w:p>
    <w:p w14:paraId="1212FC04" w14:textId="77777777" w:rsidR="009C32B6" w:rsidRPr="009C32B6" w:rsidRDefault="009C32B6" w:rsidP="009C32B6">
      <w:r w:rsidRPr="009C32B6">
        <w:rPr>
          <w:b/>
          <w:bCs/>
        </w:rPr>
        <w:t>⁴</w:t>
      </w:r>
      <w:r w:rsidRPr="009C32B6">
        <w:t xml:space="preserve"> </w:t>
      </w:r>
      <w:proofErr w:type="spellStart"/>
      <w:r w:rsidRPr="009C32B6">
        <w:t>Tainio</w:t>
      </w:r>
      <w:proofErr w:type="spellEnd"/>
      <w:r w:rsidRPr="009C32B6">
        <w:t xml:space="preserve"> K, et al. </w:t>
      </w:r>
      <w:r w:rsidRPr="009C32B6">
        <w:rPr>
          <w:i/>
          <w:iCs/>
        </w:rPr>
        <w:t>Clinical course of untreated cervical intraepithelial neoplasia grade 2 under active surveillance: systematic review and meta-analysis.</w:t>
      </w:r>
      <w:r w:rsidRPr="009C32B6">
        <w:t xml:space="preserve"> </w:t>
      </w:r>
      <w:r w:rsidRPr="009C32B6">
        <w:rPr>
          <w:b/>
          <w:bCs/>
        </w:rPr>
        <w:t>BMJ.</w:t>
      </w:r>
      <w:r w:rsidRPr="009C32B6">
        <w:t xml:space="preserve"> 2018;360:k499.</w:t>
      </w:r>
      <w:r w:rsidRPr="009C32B6">
        <w:br/>
        <w:t>→ Demonstrates that a substantial proportion of CIN2 lesions regress spontaneously without intervention.</w:t>
      </w:r>
    </w:p>
    <w:p w14:paraId="7D5AEE5B" w14:textId="77777777" w:rsidR="009C32B6" w:rsidRPr="009C32B6" w:rsidRDefault="009C32B6" w:rsidP="009C32B6">
      <w:r w:rsidRPr="009C32B6">
        <w:rPr>
          <w:b/>
          <w:bCs/>
        </w:rPr>
        <w:t>⁵</w:t>
      </w:r>
      <w:r w:rsidRPr="009C32B6">
        <w:t xml:space="preserve"> Castle PE, et al. </w:t>
      </w:r>
      <w:r w:rsidRPr="009C32B6">
        <w:rPr>
          <w:i/>
          <w:iCs/>
        </w:rPr>
        <w:t>Impact of improved classification on the association of human papillomavirus with cervical precancer.</w:t>
      </w:r>
      <w:r w:rsidRPr="009C32B6">
        <w:t xml:space="preserve"> </w:t>
      </w:r>
      <w:r w:rsidRPr="009C32B6">
        <w:rPr>
          <w:b/>
          <w:bCs/>
        </w:rPr>
        <w:t>American Journal of Epidemiology.</w:t>
      </w:r>
      <w:r w:rsidRPr="009C32B6">
        <w:t xml:space="preserve"> 2009;171(2):161–170.</w:t>
      </w:r>
      <w:r w:rsidRPr="009C32B6">
        <w:br/>
        <w:t>→ Discusses variability in lesion progression and limitations of surrogate endpoints in predicting cancer outcomes.</w:t>
      </w:r>
    </w:p>
    <w:p w14:paraId="24770F26" w14:textId="77777777" w:rsidR="009C32B6" w:rsidRPr="009C32B6" w:rsidRDefault="009C32B6" w:rsidP="009C32B6">
      <w:r w:rsidRPr="009C32B6">
        <w:rPr>
          <w:b/>
          <w:bCs/>
        </w:rPr>
        <w:t>⁶</w:t>
      </w:r>
      <w:r w:rsidRPr="009C32B6">
        <w:t xml:space="preserve"> FDA Vaccines and Related Biological Products Advisory Committee (VRBPAC).</w:t>
      </w:r>
      <w:r w:rsidRPr="009C32B6">
        <w:br/>
      </w:r>
      <w:r w:rsidRPr="009C32B6">
        <w:rPr>
          <w:i/>
          <w:iCs/>
        </w:rPr>
        <w:t>Gardasil HPV Quadrivalent Vaccine — Background Document.</w:t>
      </w:r>
      <w:r w:rsidRPr="009C32B6">
        <w:t xml:space="preserve"> May 18, 2006. </w:t>
      </w:r>
      <w:r w:rsidRPr="009C32B6">
        <w:rPr>
          <w:b/>
          <w:bCs/>
        </w:rPr>
        <w:t>Table 17, p. 13.</w:t>
      </w:r>
      <w:r w:rsidRPr="009C32B6">
        <w:rPr>
          <w:b/>
          <w:bCs/>
        </w:rPr>
        <w:br/>
      </w:r>
      <w:hyperlink r:id="rId4" w:history="1">
        <w:r w:rsidRPr="009C32B6">
          <w:rPr>
            <w:rStyle w:val="Hyperlink"/>
          </w:rPr>
          <w:t>https://zenodo.org/record/1434214</w:t>
        </w:r>
        <w:r w:rsidRPr="009C32B6">
          <w:rPr>
            <w:rStyle w:val="Hyperlink"/>
          </w:rPr>
          <w:br/>
        </w:r>
      </w:hyperlink>
      <w:r w:rsidRPr="009C32B6">
        <w:t xml:space="preserve">→ Reports </w:t>
      </w:r>
      <w:r w:rsidRPr="009C32B6">
        <w:rPr>
          <w:b/>
          <w:bCs/>
        </w:rPr>
        <w:t>negative efficacy (~ –45%)</w:t>
      </w:r>
      <w:r w:rsidRPr="009C32B6">
        <w:t xml:space="preserve"> for CIN 2/3 or worse among subjects who were </w:t>
      </w:r>
      <w:r w:rsidRPr="009C32B6">
        <w:rPr>
          <w:b/>
          <w:bCs/>
        </w:rPr>
        <w:t>seropositive and PCR-positive</w:t>
      </w:r>
      <w:r w:rsidRPr="009C32B6">
        <w:t xml:space="preserve"> for vaccine-relevant HPV types at baseline, indicating worse outcomes compared to unvaccinated controls in this subgroup.</w:t>
      </w:r>
    </w:p>
    <w:p w14:paraId="068CE279" w14:textId="77777777" w:rsidR="009C32B6" w:rsidRPr="009C32B6" w:rsidRDefault="009C32B6" w:rsidP="009C32B6">
      <w:r w:rsidRPr="009C32B6">
        <w:rPr>
          <w:b/>
          <w:bCs/>
        </w:rPr>
        <w:t>⁷</w:t>
      </w:r>
      <w:r w:rsidRPr="009C32B6">
        <w:t xml:space="preserve"> National Vaccine Injury Compensation Program (VICP).</w:t>
      </w:r>
      <w:r w:rsidRPr="009C32B6">
        <w:br/>
        <w:t>U.S. Department of Health &amp; Human Services.</w:t>
      </w:r>
      <w:r w:rsidRPr="009C32B6">
        <w:br/>
        <w:t>→ Public records document compensation awarded for Gardasil-related injury and death claims, reflecting legally recognized vaccine-associated harm in a subset of recipients.</w:t>
      </w:r>
    </w:p>
    <w:p w14:paraId="65D9023D" w14:textId="77777777" w:rsidR="009C32B6" w:rsidRPr="009C32B6" w:rsidRDefault="009C32B6" w:rsidP="009C32B6">
      <w:r w:rsidRPr="009C32B6">
        <w:rPr>
          <w:b/>
          <w:bCs/>
        </w:rPr>
        <w:t>⁸</w:t>
      </w:r>
      <w:r w:rsidRPr="009C32B6">
        <w:t xml:space="preserve"> FDA VRBPAC Background Document (2006); FDA Clinical Review, Gardasil.</w:t>
      </w:r>
      <w:r w:rsidRPr="009C32B6">
        <w:br/>
        <w:t xml:space="preserve">→ Acknowledge that Gardasil trials were </w:t>
      </w:r>
      <w:r w:rsidRPr="009C32B6">
        <w:rPr>
          <w:b/>
          <w:bCs/>
        </w:rPr>
        <w:t xml:space="preserve">not designed or powered to demonstrate cancer </w:t>
      </w:r>
      <w:r w:rsidRPr="009C32B6">
        <w:rPr>
          <w:b/>
          <w:bCs/>
        </w:rPr>
        <w:lastRenderedPageBreak/>
        <w:t>prevention</w:t>
      </w:r>
      <w:r w:rsidRPr="009C32B6">
        <w:t>, and that cancer-reduction claims are inferred from surrogate markers and epidemiologic association rather than direct evidence of reduced cancer incidence.</w:t>
      </w:r>
    </w:p>
    <w:p w14:paraId="5137C689" w14:textId="77777777" w:rsidR="009C32B6" w:rsidRPr="009C32B6" w:rsidRDefault="009C32B6" w:rsidP="009C32B6">
      <w:r w:rsidRPr="009C32B6">
        <w:rPr>
          <w:b/>
          <w:bCs/>
        </w:rPr>
        <w:t>⁹</w:t>
      </w:r>
      <w:r w:rsidRPr="009C32B6">
        <w:t xml:space="preserve"> Doshi P, et al. </w:t>
      </w:r>
      <w:r w:rsidRPr="009C32B6">
        <w:rPr>
          <w:i/>
          <w:iCs/>
        </w:rPr>
        <w:t>Call to Action: RIAT restoration of previously unpublished methodology in Gardasil vaccine trials.</w:t>
      </w:r>
      <w:r w:rsidRPr="009C32B6">
        <w:t xml:space="preserve"> </w:t>
      </w:r>
      <w:r w:rsidRPr="009C32B6">
        <w:rPr>
          <w:b/>
          <w:bCs/>
        </w:rPr>
        <w:t>BMJ.</w:t>
      </w:r>
      <w:r w:rsidRPr="009C32B6">
        <w:t xml:space="preserve"> 2019;346:2865.</w:t>
      </w:r>
      <w:r w:rsidRPr="009C32B6">
        <w:br/>
        <w:t xml:space="preserve">→ Identifies incomplete reporting of trial methodology, including the use of </w:t>
      </w:r>
      <w:r w:rsidRPr="009C32B6">
        <w:rPr>
          <w:b/>
          <w:bCs/>
        </w:rPr>
        <w:t xml:space="preserve">AAHS (amorphous aluminum </w:t>
      </w:r>
      <w:proofErr w:type="spellStart"/>
      <w:r w:rsidRPr="009C32B6">
        <w:rPr>
          <w:b/>
          <w:bCs/>
        </w:rPr>
        <w:t>hydroxyphosphate</w:t>
      </w:r>
      <w:proofErr w:type="spellEnd"/>
      <w:r w:rsidRPr="009C32B6">
        <w:rPr>
          <w:b/>
          <w:bCs/>
        </w:rPr>
        <w:t xml:space="preserve"> sulfate)</w:t>
      </w:r>
      <w:r w:rsidRPr="009C32B6">
        <w:t xml:space="preserve"> as an active comparator rather than an inert saline placebo.</w:t>
      </w:r>
    </w:p>
    <w:p w14:paraId="63C85095" w14:textId="77777777" w:rsidR="009C32B6" w:rsidRPr="009C32B6" w:rsidRDefault="009C32B6" w:rsidP="009C32B6">
      <w:r w:rsidRPr="009C32B6">
        <w:rPr>
          <w:b/>
          <w:bCs/>
        </w:rPr>
        <w:t>¹⁰</w:t>
      </w:r>
      <w:r w:rsidRPr="009C32B6">
        <w:t xml:space="preserve"> Doshi P, Jefferson T, et al. RIAT (Restoring Invisible and Abandoned Trials) Initiative.</w:t>
      </w:r>
      <w:r w:rsidRPr="009C32B6">
        <w:br/>
        <w:t>→ Calls for independent access to raw Gardasil clinical trial data to allow meaningful reassessment of safety and efficacy outcomes.</w:t>
      </w:r>
    </w:p>
    <w:p w14:paraId="16C843AA" w14:textId="77777777" w:rsidR="009C32B6" w:rsidRPr="009C32B6" w:rsidRDefault="009C32B6" w:rsidP="009C32B6">
      <w:r w:rsidRPr="009C32B6">
        <w:rPr>
          <w:b/>
          <w:bCs/>
        </w:rPr>
        <w:t>¹¹</w:t>
      </w:r>
      <w:r w:rsidRPr="009C32B6">
        <w:t xml:space="preserve"> Topol EJ. </w:t>
      </w:r>
      <w:r w:rsidRPr="009C32B6">
        <w:rPr>
          <w:i/>
          <w:iCs/>
        </w:rPr>
        <w:t xml:space="preserve">Failing the public health — </w:t>
      </w:r>
      <w:proofErr w:type="spellStart"/>
      <w:r w:rsidRPr="009C32B6">
        <w:rPr>
          <w:i/>
          <w:iCs/>
        </w:rPr>
        <w:t>Rofecoxib</w:t>
      </w:r>
      <w:proofErr w:type="spellEnd"/>
      <w:r w:rsidRPr="009C32B6">
        <w:rPr>
          <w:i/>
          <w:iCs/>
        </w:rPr>
        <w:t>, Merck, and the FDA.</w:t>
      </w:r>
      <w:r w:rsidRPr="009C32B6">
        <w:t xml:space="preserve"> </w:t>
      </w:r>
      <w:r w:rsidRPr="009C32B6">
        <w:rPr>
          <w:b/>
          <w:bCs/>
        </w:rPr>
        <w:t>New England Journal of Medicine.</w:t>
      </w:r>
      <w:r w:rsidRPr="009C32B6">
        <w:t xml:space="preserve"> 2004;351:1707–1709.</w:t>
      </w:r>
      <w:r w:rsidRPr="009C32B6">
        <w:br/>
        <w:t xml:space="preserve">Kesselheim AS, et al. </w:t>
      </w:r>
      <w:r w:rsidRPr="009C32B6">
        <w:rPr>
          <w:i/>
          <w:iCs/>
        </w:rPr>
        <w:t>Role of litigation in defining drug risks.</w:t>
      </w:r>
      <w:r w:rsidRPr="009C32B6">
        <w:t xml:space="preserve"> </w:t>
      </w:r>
      <w:r w:rsidRPr="009C32B6">
        <w:rPr>
          <w:b/>
          <w:bCs/>
        </w:rPr>
        <w:t>JAMA.</w:t>
      </w:r>
      <w:r w:rsidRPr="009C32B6">
        <w:t xml:space="preserve"> 2007;297:308–311.</w:t>
      </w:r>
      <w:r w:rsidRPr="009C32B6">
        <w:br/>
        <w:t>→ Documents Merck’s prior misconduct related to Vioxx and how litigation revealed previously undisclosed safety risks.</w:t>
      </w:r>
    </w:p>
    <w:p w14:paraId="1BD89AF0" w14:textId="77777777" w:rsidR="009C32B6" w:rsidRPr="009C32B6" w:rsidRDefault="009C32B6" w:rsidP="009C32B6">
      <w:r w:rsidRPr="009C32B6">
        <w:rPr>
          <w:b/>
          <w:bCs/>
        </w:rPr>
        <w:t>¹²</w:t>
      </w:r>
      <w:r w:rsidRPr="009C32B6">
        <w:t xml:space="preserve"> Wisner Baum. </w:t>
      </w:r>
      <w:r w:rsidRPr="009C32B6">
        <w:rPr>
          <w:i/>
          <w:iCs/>
        </w:rPr>
        <w:t>Plaintiffs’ Position Statement and Supporting Exhibits: Gardasil Litigation.</w:t>
      </w:r>
      <w:r w:rsidRPr="009C32B6">
        <w:rPr>
          <w:i/>
          <w:iCs/>
        </w:rPr>
        <w:br/>
      </w:r>
      <w:r w:rsidRPr="009C32B6">
        <w:t>→ Draws from publicly available legal filings, discovery materials, regulatory submissions, and sworn expert testimony addressing Gardasil trial design, safety signals, and post-marketing outcomes.</w:t>
      </w:r>
    </w:p>
    <w:p w14:paraId="42E61C50" w14:textId="77777777" w:rsidR="009C32B6" w:rsidRDefault="009C32B6"/>
    <w:sectPr w:rsidR="009C32B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021E"/>
    <w:rsid w:val="000A79D8"/>
    <w:rsid w:val="000E021E"/>
    <w:rsid w:val="009C32B6"/>
    <w:rsid w:val="00DA5A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E4D4AC"/>
  <w15:chartTrackingRefBased/>
  <w15:docId w15:val="{F4DE7782-849F-46A7-B9C9-13999041CF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E021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E021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E021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E021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E021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E021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E021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E021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E021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E021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E021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E021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E021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E021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E021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E021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E021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E021E"/>
    <w:rPr>
      <w:rFonts w:eastAsiaTheme="majorEastAsia" w:cstheme="majorBidi"/>
      <w:color w:val="272727" w:themeColor="text1" w:themeTint="D8"/>
    </w:rPr>
  </w:style>
  <w:style w:type="paragraph" w:styleId="Title">
    <w:name w:val="Title"/>
    <w:basedOn w:val="Normal"/>
    <w:next w:val="Normal"/>
    <w:link w:val="TitleChar"/>
    <w:uiPriority w:val="10"/>
    <w:qFormat/>
    <w:rsid w:val="000E021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E021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E021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E021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E021E"/>
    <w:pPr>
      <w:spacing w:before="160"/>
      <w:jc w:val="center"/>
    </w:pPr>
    <w:rPr>
      <w:i/>
      <w:iCs/>
      <w:color w:val="404040" w:themeColor="text1" w:themeTint="BF"/>
    </w:rPr>
  </w:style>
  <w:style w:type="character" w:customStyle="1" w:styleId="QuoteChar">
    <w:name w:val="Quote Char"/>
    <w:basedOn w:val="DefaultParagraphFont"/>
    <w:link w:val="Quote"/>
    <w:uiPriority w:val="29"/>
    <w:rsid w:val="000E021E"/>
    <w:rPr>
      <w:i/>
      <w:iCs/>
      <w:color w:val="404040" w:themeColor="text1" w:themeTint="BF"/>
    </w:rPr>
  </w:style>
  <w:style w:type="paragraph" w:styleId="ListParagraph">
    <w:name w:val="List Paragraph"/>
    <w:basedOn w:val="Normal"/>
    <w:uiPriority w:val="34"/>
    <w:qFormat/>
    <w:rsid w:val="000E021E"/>
    <w:pPr>
      <w:ind w:left="720"/>
      <w:contextualSpacing/>
    </w:pPr>
  </w:style>
  <w:style w:type="character" w:styleId="IntenseEmphasis">
    <w:name w:val="Intense Emphasis"/>
    <w:basedOn w:val="DefaultParagraphFont"/>
    <w:uiPriority w:val="21"/>
    <w:qFormat/>
    <w:rsid w:val="000E021E"/>
    <w:rPr>
      <w:i/>
      <w:iCs/>
      <w:color w:val="0F4761" w:themeColor="accent1" w:themeShade="BF"/>
    </w:rPr>
  </w:style>
  <w:style w:type="paragraph" w:styleId="IntenseQuote">
    <w:name w:val="Intense Quote"/>
    <w:basedOn w:val="Normal"/>
    <w:next w:val="Normal"/>
    <w:link w:val="IntenseQuoteChar"/>
    <w:uiPriority w:val="30"/>
    <w:qFormat/>
    <w:rsid w:val="000E021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E021E"/>
    <w:rPr>
      <w:i/>
      <w:iCs/>
      <w:color w:val="0F4761" w:themeColor="accent1" w:themeShade="BF"/>
    </w:rPr>
  </w:style>
  <w:style w:type="character" w:styleId="IntenseReference">
    <w:name w:val="Intense Reference"/>
    <w:basedOn w:val="DefaultParagraphFont"/>
    <w:uiPriority w:val="32"/>
    <w:qFormat/>
    <w:rsid w:val="000E021E"/>
    <w:rPr>
      <w:b/>
      <w:bCs/>
      <w:smallCaps/>
      <w:color w:val="0F4761" w:themeColor="accent1" w:themeShade="BF"/>
      <w:spacing w:val="5"/>
    </w:rPr>
  </w:style>
  <w:style w:type="character" w:styleId="Hyperlink">
    <w:name w:val="Hyperlink"/>
    <w:basedOn w:val="DefaultParagraphFont"/>
    <w:uiPriority w:val="99"/>
    <w:unhideWhenUsed/>
    <w:rsid w:val="009C32B6"/>
    <w:rPr>
      <w:color w:val="467886" w:themeColor="hyperlink"/>
      <w:u w:val="single"/>
    </w:rPr>
  </w:style>
  <w:style w:type="character" w:styleId="UnresolvedMention">
    <w:name w:val="Unresolved Mention"/>
    <w:basedOn w:val="DefaultParagraphFont"/>
    <w:uiPriority w:val="99"/>
    <w:semiHidden/>
    <w:unhideWhenUsed/>
    <w:rsid w:val="009C32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zenodo.org/record/14342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1152</Words>
  <Characters>7187</Characters>
  <Application>Microsoft Office Word</Application>
  <DocSecurity>0</DocSecurity>
  <Lines>120</Lines>
  <Paragraphs>27</Paragraphs>
  <ScaleCrop>false</ScaleCrop>
  <Company/>
  <LinksUpToDate>false</LinksUpToDate>
  <CharactersWithSpaces>8304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 Fiore</dc:creator>
  <cp:keywords/>
  <dc:description/>
  <cp:lastModifiedBy>Anthony Fiore</cp:lastModifiedBy>
  <cp:revision>3</cp:revision>
  <dcterms:created xsi:type="dcterms:W3CDTF">2026-01-27T00:23:00Z</dcterms:created>
  <dcterms:modified xsi:type="dcterms:W3CDTF">2026-01-27T00:25:00Z</dcterms:modified>
</cp:coreProperties>
</file>