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C68C3" w:rsidRDefault="006C68C3" w:rsidP="006C68C3">
      <w:pPr>
        <w:pStyle w:val="Heading2"/>
        <w:rPr>
          <w:rFonts w:eastAsia="Times New Roman"/>
        </w:rPr>
      </w:pPr>
      <w:r>
        <w:rPr>
          <w:rFonts w:eastAsia="Times New Roman"/>
        </w:rPr>
        <w:t>FOSC Dispersant Standard Conditions Checklist</w:t>
      </w:r>
    </w:p>
    <w:p w:rsidR="006C68C3" w:rsidRPr="00A0342C" w:rsidRDefault="006C68C3" w:rsidP="006C68C3">
      <w:r w:rsidRPr="00A0342C">
        <w:t>This checklist is to be completed for Case-by-Case decision areas and Pre-Authorized areas.</w:t>
      </w:r>
    </w:p>
    <w:p w:rsidR="006C68C3" w:rsidRPr="00A0342C" w:rsidRDefault="006C68C3" w:rsidP="006C68C3"/>
    <w:p w:rsidR="006C68C3" w:rsidRDefault="006C68C3" w:rsidP="006C68C3">
      <w:pPr>
        <w:pStyle w:val="Heading4"/>
        <w:rPr>
          <w:rFonts w:eastAsia="Times New Roman"/>
        </w:rPr>
      </w:pPr>
      <w:r>
        <w:rPr>
          <w:rFonts w:eastAsia="Times New Roman"/>
        </w:rPr>
        <w:t>Purpose</w:t>
      </w:r>
    </w:p>
    <w:p w:rsidR="006C68C3" w:rsidRPr="00A0342C" w:rsidRDefault="006C68C3" w:rsidP="006C68C3">
      <w:r w:rsidRPr="00A0342C">
        <w:t>The purpose of this checklist is to provide confirmation to the RRT from the FOSC/UC about standard procedures and other activities that will take place or be initiated before a dispersant spray operation would take place.  This information is to help inform the RRT, to provide information on conditions that must and will be met by the FOSC/UC before a spray operation would commence. Additional information may be added to this checklist as appropriate or applicable for the RRT.</w:t>
      </w:r>
    </w:p>
    <w:p w:rsidR="006C68C3" w:rsidRPr="00A0342C" w:rsidRDefault="006C68C3" w:rsidP="006C68C3"/>
    <w:p w:rsidR="006C68C3" w:rsidRDefault="006C68C3" w:rsidP="006C68C3">
      <w:pPr>
        <w:pStyle w:val="Heading4"/>
        <w:rPr>
          <w:rFonts w:eastAsia="Times New Roman"/>
        </w:rPr>
      </w:pPr>
      <w:r>
        <w:rPr>
          <w:rFonts w:eastAsia="Times New Roman"/>
        </w:rPr>
        <w:t>Who Could Fill Out This Form</w:t>
      </w:r>
    </w:p>
    <w:p w:rsidR="006C68C3" w:rsidRPr="00A0342C" w:rsidRDefault="006C68C3" w:rsidP="006C68C3">
      <w:r w:rsidRPr="00A0342C">
        <w:t>To be designated by the FOSC/UC.  Could be an EU member; Ops member; UC member; other suitable member of the IMT identified by the FOSC.</w:t>
      </w:r>
    </w:p>
    <w:p w:rsidR="006C68C3" w:rsidRPr="00A0342C" w:rsidRDefault="006C68C3" w:rsidP="006C68C3"/>
    <w:p w:rsidR="006C68C3" w:rsidRDefault="006C68C3" w:rsidP="006C68C3">
      <w:r>
        <w:rPr>
          <w:b/>
          <w:bCs/>
        </w:rPr>
        <w:t>AUTHORIZATION ZONE TYPE:</w:t>
      </w:r>
      <w:r>
        <w:t xml:space="preserve"> _____ PRE-APPROVED ______ CASE BY CASE</w:t>
      </w:r>
    </w:p>
    <w:p w:rsidR="006C68C3" w:rsidRDefault="006C68C3" w:rsidP="006C68C3"/>
    <w:p w:rsidR="006C68C3" w:rsidRDefault="006C68C3" w:rsidP="006C68C3">
      <w:pPr>
        <w:tabs>
          <w:tab w:val="left" w:pos="10800"/>
        </w:tabs>
        <w:rPr>
          <w:b/>
          <w:bCs/>
        </w:rPr>
      </w:pPr>
      <w:r>
        <w:rPr>
          <w:b/>
          <w:bCs/>
        </w:rPr>
        <w:t>FORM CO</w:t>
      </w:r>
      <w:r>
        <w:rPr>
          <w:b/>
          <w:bCs/>
        </w:rPr>
        <w:t>MPLETED (DATE/TIME/NAME/TITLE):</w:t>
      </w:r>
      <w:r w:rsidRPr="006C68C3">
        <w:rPr>
          <w:bCs/>
          <w:u w:val="single"/>
        </w:rPr>
        <w:tab/>
      </w:r>
    </w:p>
    <w:p w:rsidR="006C68C3" w:rsidRDefault="006C68C3" w:rsidP="006C68C3">
      <w:pPr>
        <w:tabs>
          <w:tab w:val="left" w:pos="10800"/>
        </w:tabs>
        <w:spacing w:before="240"/>
      </w:pPr>
      <w:r w:rsidRPr="006C68C3">
        <w:rPr>
          <w:bCs/>
          <w:u w:val="single"/>
        </w:rPr>
        <w:tab/>
      </w:r>
    </w:p>
    <w:p w:rsidR="006C68C3" w:rsidRDefault="006C68C3" w:rsidP="006C68C3"/>
    <w:p w:rsidR="006C68C3" w:rsidRDefault="006C68C3" w:rsidP="006C68C3">
      <w:pPr>
        <w:tabs>
          <w:tab w:val="left" w:pos="10800"/>
        </w:tabs>
        <w:rPr>
          <w:u w:val="single"/>
        </w:rPr>
      </w:pPr>
      <w:r>
        <w:rPr>
          <w:b/>
          <w:bCs/>
        </w:rPr>
        <w:t>FOSC Name/Signature</w:t>
      </w:r>
      <w:r>
        <w:t>:</w:t>
      </w:r>
      <w:r>
        <w:t xml:space="preserve"> </w:t>
      </w:r>
      <w:r w:rsidRPr="006C68C3">
        <w:rPr>
          <w:u w:val="single"/>
        </w:rPr>
        <w:tab/>
      </w:r>
    </w:p>
    <w:p w:rsidR="006C68C3" w:rsidRPr="006C68C3" w:rsidRDefault="006C68C3" w:rsidP="006C68C3">
      <w:pPr>
        <w:tabs>
          <w:tab w:val="left" w:pos="10800"/>
        </w:tabs>
        <w:rPr>
          <w:u w:val="single"/>
        </w:rPr>
      </w:pPr>
    </w:p>
    <w:p w:rsidR="006C68C3" w:rsidRDefault="006C68C3" w:rsidP="006C68C3"/>
    <w:tbl>
      <w:tblPr>
        <w:tblW w:w="5000" w:type="pct"/>
        <w:tblCellMar>
          <w:left w:w="0" w:type="dxa"/>
          <w:right w:w="0" w:type="dxa"/>
        </w:tblCellMar>
        <w:tblLook w:val="04A0" w:firstRow="1" w:lastRow="0" w:firstColumn="1" w:lastColumn="0" w:noHBand="0" w:noVBand="1"/>
      </w:tblPr>
      <w:tblGrid>
        <w:gridCol w:w="649"/>
        <w:gridCol w:w="517"/>
        <w:gridCol w:w="699"/>
        <w:gridCol w:w="8915"/>
      </w:tblGrid>
      <w:tr w:rsidR="006C68C3" w:rsidTr="006C68C3">
        <w:trPr>
          <w:cantSplit/>
          <w:tblHeader/>
        </w:trPr>
        <w:tc>
          <w:tcPr>
            <w:tcW w:w="301" w:type="pct"/>
            <w:tcBorders>
              <w:top w:val="single" w:sz="12" w:space="0" w:color="008080"/>
              <w:left w:val="single" w:sz="8" w:space="0" w:color="008080"/>
              <w:bottom w:val="single" w:sz="8" w:space="0" w:color="008080"/>
              <w:right w:val="single" w:sz="8" w:space="0" w:color="008080"/>
            </w:tcBorders>
            <w:shd w:val="clear" w:color="auto" w:fill="008080"/>
            <w:tcMar>
              <w:top w:w="0" w:type="dxa"/>
              <w:left w:w="108" w:type="dxa"/>
              <w:bottom w:w="0" w:type="dxa"/>
              <w:right w:w="108" w:type="dxa"/>
            </w:tcMar>
            <w:vAlign w:val="bottom"/>
          </w:tcPr>
          <w:p w:rsidR="006C68C3" w:rsidRDefault="006C68C3">
            <w:pPr>
              <w:rPr>
                <w:b/>
                <w:bCs/>
                <w:color w:val="FFFFFF"/>
              </w:rPr>
            </w:pPr>
          </w:p>
        </w:tc>
        <w:tc>
          <w:tcPr>
            <w:tcW w:w="240" w:type="pct"/>
            <w:tcBorders>
              <w:top w:val="single" w:sz="12"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bottom"/>
            <w:hideMark/>
          </w:tcPr>
          <w:p w:rsidR="006C68C3" w:rsidRDefault="006C68C3">
            <w:pPr>
              <w:rPr>
                <w:b/>
                <w:bCs/>
                <w:color w:val="FFFFFF"/>
              </w:rPr>
            </w:pPr>
            <w:r>
              <w:rPr>
                <w:b/>
                <w:bCs/>
                <w:color w:val="FFFFFF"/>
              </w:rPr>
              <w:t>Y</w:t>
            </w:r>
          </w:p>
        </w:tc>
        <w:tc>
          <w:tcPr>
            <w:tcW w:w="324" w:type="pct"/>
            <w:tcBorders>
              <w:top w:val="single" w:sz="12"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bottom"/>
            <w:hideMark/>
          </w:tcPr>
          <w:p w:rsidR="006C68C3" w:rsidRDefault="006C68C3">
            <w:pPr>
              <w:rPr>
                <w:b/>
                <w:bCs/>
                <w:color w:val="FFFFFF"/>
              </w:rPr>
            </w:pPr>
            <w:r>
              <w:rPr>
                <w:b/>
                <w:bCs/>
                <w:color w:val="FFFFFF"/>
              </w:rPr>
              <w:t>N/A</w:t>
            </w:r>
          </w:p>
        </w:tc>
        <w:tc>
          <w:tcPr>
            <w:tcW w:w="4135" w:type="pct"/>
            <w:tcBorders>
              <w:top w:val="single" w:sz="12" w:space="0" w:color="008080"/>
              <w:left w:val="nil"/>
              <w:bottom w:val="single" w:sz="8" w:space="0" w:color="008080"/>
              <w:right w:val="single" w:sz="8" w:space="0" w:color="008080"/>
            </w:tcBorders>
            <w:shd w:val="clear" w:color="auto" w:fill="008080"/>
            <w:tcMar>
              <w:top w:w="0" w:type="dxa"/>
              <w:left w:w="108" w:type="dxa"/>
              <w:bottom w:w="0" w:type="dxa"/>
              <w:right w:w="108" w:type="dxa"/>
            </w:tcMar>
            <w:vAlign w:val="bottom"/>
          </w:tcPr>
          <w:p w:rsidR="006C68C3" w:rsidRDefault="006C68C3">
            <w:pPr>
              <w:rPr>
                <w:b/>
                <w:bCs/>
                <w:color w:val="FFFFFF"/>
              </w:rPr>
            </w:pPr>
          </w:p>
        </w:tc>
      </w:tr>
      <w:tr w:rsidR="006C68C3" w:rsidTr="006C68C3">
        <w:trPr>
          <w:cantSplit/>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 xml:space="preserve">1. </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proofErr w:type="spellStart"/>
            <w:r>
              <w:rPr>
                <w:b/>
                <w:bCs/>
              </w:rPr>
              <w:t>Dispersability</w:t>
            </w:r>
            <w:proofErr w:type="spellEnd"/>
            <w:r>
              <w:rPr>
                <w:b/>
                <w:bCs/>
              </w:rPr>
              <w:t xml:space="preserve">: </w:t>
            </w:r>
            <w:r>
              <w:t>Available technical information or experience suggests that the spilled product is dispersible and will likely still be dispersible in the time frame of anticipated application of dispersants.</w:t>
            </w:r>
          </w:p>
        </w:tc>
      </w:tr>
      <w:tr w:rsidR="006C68C3" w:rsidTr="006C68C3">
        <w:trPr>
          <w:cantSplit/>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 xml:space="preserve">2. </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r>
              <w:rPr>
                <w:b/>
                <w:bCs/>
              </w:rPr>
              <w:t xml:space="preserve">National Contingency Plan (NCP) Listed Dispersant: </w:t>
            </w:r>
            <w:r>
              <w:t xml:space="preserve">Dispersant to be used is listed on current NCP Product Schedule; considered appropriate for oil type and conditions. </w:t>
            </w:r>
          </w:p>
        </w:tc>
      </w:tr>
      <w:tr w:rsidR="006C68C3" w:rsidTr="006C68C3">
        <w:trPr>
          <w:cantSplit/>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 xml:space="preserve">3. </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pPr>
              <w:rPr>
                <w:b/>
                <w:bCs/>
              </w:rPr>
            </w:pPr>
            <w:r>
              <w:rPr>
                <w:b/>
                <w:bCs/>
              </w:rPr>
              <w:t>Operational Considerations – Summary Statements:</w:t>
            </w:r>
          </w:p>
          <w:p w:rsidR="006C68C3" w:rsidRDefault="006C68C3" w:rsidP="000966FC">
            <w:pPr>
              <w:numPr>
                <w:ilvl w:val="0"/>
                <w:numId w:val="1"/>
              </w:numPr>
              <w:rPr>
                <w:b/>
                <w:bCs/>
              </w:rPr>
            </w:pPr>
            <w:r>
              <w:rPr>
                <w:b/>
                <w:bCs/>
              </w:rPr>
              <w:t xml:space="preserve">Weather Conditions: </w:t>
            </w:r>
            <w:r>
              <w:t>Weather and sea conditions are conducive to dispersant application by chosen system or platform. Forecast attached.</w:t>
            </w:r>
            <w:r>
              <w:rPr>
                <w:b/>
                <w:bCs/>
              </w:rPr>
              <w:t xml:space="preserve"> </w:t>
            </w:r>
          </w:p>
          <w:p w:rsidR="006C68C3" w:rsidRDefault="006C68C3" w:rsidP="000966FC">
            <w:pPr>
              <w:numPr>
                <w:ilvl w:val="0"/>
                <w:numId w:val="1"/>
              </w:numPr>
              <w:rPr>
                <w:b/>
                <w:bCs/>
              </w:rPr>
            </w:pPr>
            <w:r>
              <w:rPr>
                <w:b/>
                <w:bCs/>
              </w:rPr>
              <w:t xml:space="preserve">General Adequacy of Dispersant Spray System and Personnel Competency: </w:t>
            </w:r>
            <w:r>
              <w:t>equipment is purpose-built, tested, and appropriate to spill conditions; personnel are trained and experienced.</w:t>
            </w:r>
          </w:p>
          <w:p w:rsidR="006C68C3" w:rsidRDefault="006C68C3" w:rsidP="000966FC">
            <w:pPr>
              <w:numPr>
                <w:ilvl w:val="0"/>
                <w:numId w:val="1"/>
              </w:numPr>
            </w:pPr>
            <w:r>
              <w:rPr>
                <w:b/>
                <w:bCs/>
              </w:rPr>
              <w:t xml:space="preserve">Application Control:  </w:t>
            </w:r>
            <w:r>
              <w:t>Dispersant operation provides reasonable control over the spray zone able to effectively direct the dispersant platform in carrying out the dispersant operation, including the avoidance of wildlife that may be in the area. Droplet sizes meet ASTM guidelines.</w:t>
            </w:r>
          </w:p>
        </w:tc>
      </w:tr>
      <w:tr w:rsidR="006C68C3" w:rsidTr="006C68C3">
        <w:trPr>
          <w:cantSplit/>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4.</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r>
              <w:rPr>
                <w:b/>
                <w:bCs/>
              </w:rPr>
              <w:t>SMART (</w:t>
            </w:r>
            <w:r>
              <w:t>Special Monitoring of Applied Response Technologies)</w:t>
            </w:r>
            <w:r>
              <w:rPr>
                <w:b/>
                <w:bCs/>
              </w:rPr>
              <w:t xml:space="preserve">: </w:t>
            </w:r>
            <w:r>
              <w:t>Appropriately trained responders have been mobilized and will be deployed prior to dispersant application, minimum of Tier I.</w:t>
            </w:r>
          </w:p>
        </w:tc>
      </w:tr>
      <w:tr w:rsidR="006C68C3" w:rsidTr="006C68C3">
        <w:trPr>
          <w:cantSplit/>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5.</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pPr>
              <w:rPr>
                <w:b/>
                <w:bCs/>
              </w:rPr>
            </w:pPr>
            <w:r>
              <w:rPr>
                <w:b/>
                <w:bCs/>
              </w:rPr>
              <w:t>Wildlife Observation:</w:t>
            </w:r>
            <w:r>
              <w:t xml:space="preserve"> An aerial wildlife surveillance specialist(s), designated by appropriate Trustee agency(s), is available to observe wildlife that should be avoided in the potential dispersant application area and will document any observed impacts. </w:t>
            </w:r>
          </w:p>
        </w:tc>
      </w:tr>
      <w:tr w:rsidR="006C68C3" w:rsidTr="006C68C3">
        <w:trPr>
          <w:cantSplit/>
          <w:trHeight w:val="831"/>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6.</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r>
              <w:rPr>
                <w:b/>
                <w:bCs/>
              </w:rPr>
              <w:t>Endangered Species Act and Essential Fish Habitat Consultations:</w:t>
            </w:r>
            <w:r>
              <w:t xml:space="preserve"> </w:t>
            </w:r>
          </w:p>
          <w:p w:rsidR="006C68C3" w:rsidRDefault="006C68C3">
            <w:r>
              <w:t>Have been initiated in accordance with applicable guidance. Guidelines/conservation measures/BMPs will be incorporated into operational plans as appropriate.</w:t>
            </w:r>
          </w:p>
        </w:tc>
      </w:tr>
      <w:tr w:rsidR="006C68C3" w:rsidTr="006C68C3">
        <w:trPr>
          <w:cantSplit/>
          <w:trHeight w:val="1074"/>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lastRenderedPageBreak/>
              <w:t>7.</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r>
              <w:rPr>
                <w:b/>
                <w:bCs/>
              </w:rPr>
              <w:t xml:space="preserve">Consultations with Tribes, local government and other key stakeholders: </w:t>
            </w:r>
            <w:r>
              <w:t>(</w:t>
            </w:r>
            <w:r>
              <w:rPr>
                <w:b/>
                <w:bCs/>
              </w:rPr>
              <w:t xml:space="preserve">including National Historic Preservation Act Section 106 </w:t>
            </w:r>
            <w:r>
              <w:t>if applicable)</w:t>
            </w:r>
            <w:proofErr w:type="gramStart"/>
            <w:r>
              <w:rPr>
                <w:b/>
                <w:bCs/>
              </w:rPr>
              <w:t xml:space="preserve">  </w:t>
            </w:r>
            <w:r>
              <w:t>Have</w:t>
            </w:r>
            <w:proofErr w:type="gramEnd"/>
            <w:r>
              <w:t xml:space="preserve"> been initiated in accordance with applicable guidance and have been communicated to UC and incorporated into recommendations.</w:t>
            </w:r>
          </w:p>
        </w:tc>
      </w:tr>
      <w:tr w:rsidR="006C68C3" w:rsidTr="006C68C3">
        <w:trPr>
          <w:cantSplit/>
          <w:trHeight w:val="606"/>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8.</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pPr>
              <w:rPr>
                <w:b/>
                <w:bCs/>
              </w:rPr>
            </w:pPr>
            <w:r>
              <w:rPr>
                <w:b/>
                <w:bCs/>
              </w:rPr>
              <w:t xml:space="preserve">Safety and </w:t>
            </w:r>
            <w:proofErr w:type="spellStart"/>
            <w:r>
              <w:rPr>
                <w:b/>
                <w:bCs/>
              </w:rPr>
              <w:t>Comms</w:t>
            </w:r>
            <w:proofErr w:type="spellEnd"/>
            <w:r>
              <w:rPr>
                <w:b/>
                <w:bCs/>
              </w:rPr>
              <w:t xml:space="preserve"> Plan:</w:t>
            </w:r>
            <w:r>
              <w:t xml:space="preserve"> A thorough, specific Dispersant Ops Safety and </w:t>
            </w:r>
            <w:proofErr w:type="spellStart"/>
            <w:r>
              <w:t>Comms</w:t>
            </w:r>
            <w:proofErr w:type="spellEnd"/>
            <w:r>
              <w:t xml:space="preserve"> Plans have been/will be completed prior to any dispersant test or application.</w:t>
            </w:r>
          </w:p>
        </w:tc>
      </w:tr>
      <w:tr w:rsidR="006C68C3" w:rsidTr="006C68C3">
        <w:trPr>
          <w:cantSplit/>
          <w:trHeight w:val="493"/>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9.</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rsidP="006C68C3">
            <w:r>
              <w:rPr>
                <w:b/>
                <w:bCs/>
              </w:rPr>
              <w:t xml:space="preserve">Dispersant Operations Plan:  </w:t>
            </w:r>
            <w:r>
              <w:t>The Dispersant Operations Plan is under development by Ops with input from EU.  Expected completion time and date.</w:t>
            </w:r>
          </w:p>
        </w:tc>
      </w:tr>
      <w:tr w:rsidR="006C68C3" w:rsidTr="006C68C3">
        <w:trPr>
          <w:cantSplit/>
          <w:trHeight w:val="367"/>
        </w:trPr>
        <w:tc>
          <w:tcPr>
            <w:tcW w:w="301" w:type="pct"/>
            <w:tcBorders>
              <w:top w:val="nil"/>
              <w:left w:val="single" w:sz="8" w:space="0" w:color="008080"/>
              <w:bottom w:val="single" w:sz="8" w:space="0" w:color="008080"/>
              <w:right w:val="single" w:sz="8" w:space="0" w:color="008080"/>
            </w:tcBorders>
            <w:tcMar>
              <w:top w:w="0" w:type="dxa"/>
              <w:left w:w="108" w:type="dxa"/>
              <w:bottom w:w="0" w:type="dxa"/>
              <w:right w:w="108" w:type="dxa"/>
            </w:tcMar>
            <w:hideMark/>
          </w:tcPr>
          <w:p w:rsidR="006C68C3" w:rsidRDefault="006C68C3">
            <w:r>
              <w:t>10.</w:t>
            </w:r>
          </w:p>
        </w:tc>
        <w:tc>
          <w:tcPr>
            <w:tcW w:w="240"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324" w:type="pct"/>
            <w:tcBorders>
              <w:top w:val="nil"/>
              <w:left w:val="nil"/>
              <w:bottom w:val="single" w:sz="8" w:space="0" w:color="008080"/>
              <w:right w:val="single" w:sz="8" w:space="0" w:color="008080"/>
            </w:tcBorders>
            <w:tcMar>
              <w:top w:w="0" w:type="dxa"/>
              <w:left w:w="108" w:type="dxa"/>
              <w:bottom w:w="0" w:type="dxa"/>
              <w:right w:w="108" w:type="dxa"/>
            </w:tcMar>
          </w:tcPr>
          <w:p w:rsidR="006C68C3" w:rsidRDefault="006C68C3"/>
        </w:tc>
        <w:tc>
          <w:tcPr>
            <w:tcW w:w="4135" w:type="pct"/>
            <w:tcBorders>
              <w:top w:val="nil"/>
              <w:left w:val="nil"/>
              <w:bottom w:val="single" w:sz="8" w:space="0" w:color="008080"/>
              <w:right w:val="single" w:sz="8" w:space="0" w:color="008080"/>
            </w:tcBorders>
            <w:tcMar>
              <w:top w:w="0" w:type="dxa"/>
              <w:left w:w="108" w:type="dxa"/>
              <w:bottom w:w="0" w:type="dxa"/>
              <w:right w:w="108" w:type="dxa"/>
            </w:tcMar>
            <w:hideMark/>
          </w:tcPr>
          <w:p w:rsidR="006C68C3" w:rsidRDefault="006C68C3">
            <w:r>
              <w:rPr>
                <w:b/>
                <w:bCs/>
              </w:rPr>
              <w:t xml:space="preserve">Other:  </w:t>
            </w:r>
            <w:r>
              <w:t>Any additional specific information/condition requested by or relevant to RRT10 (strike out if not used)</w:t>
            </w:r>
          </w:p>
        </w:tc>
      </w:tr>
    </w:tbl>
    <w:p w:rsidR="006C68C3" w:rsidRDefault="006C68C3" w:rsidP="006C68C3"/>
    <w:p w:rsidR="006C68C3" w:rsidRDefault="006C68C3" w:rsidP="006C68C3">
      <w:pPr>
        <w:rPr>
          <w:rFonts w:ascii="Arial" w:hAnsi="Arial" w:cs="Arial"/>
          <w:b/>
          <w:bCs/>
          <w:sz w:val="28"/>
          <w:szCs w:val="28"/>
        </w:rPr>
      </w:pPr>
      <w:r>
        <w:rPr>
          <w:rFonts w:eastAsia="Times New Roman"/>
        </w:rPr>
        <w:br w:type="page"/>
      </w:r>
      <w:bookmarkStart w:id="0" w:name="_GoBack"/>
      <w:bookmarkEnd w:id="0"/>
    </w:p>
    <w:p w:rsidR="006C68C3" w:rsidRDefault="006C68C3" w:rsidP="006C68C3">
      <w:pPr>
        <w:rPr>
          <w:rFonts w:ascii="Calibri" w:hAnsi="Calibri"/>
          <w:sz w:val="22"/>
          <w:szCs w:val="22"/>
        </w:rPr>
      </w:pPr>
    </w:p>
    <w:p w:rsidR="00AE7EC8" w:rsidRDefault="00A0342C"/>
    <w:sectPr w:rsidR="00AE7EC8" w:rsidSect="006C68C3">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6F74C9"/>
    <w:multiLevelType w:val="hybridMultilevel"/>
    <w:tmpl w:val="A4B6565C"/>
    <w:lvl w:ilvl="0" w:tplc="C76ABE3C">
      <w:start w:val="1"/>
      <w:numFmt w:val="upperLetter"/>
      <w:lvlText w:val="%1."/>
      <w:lvlJc w:val="left"/>
      <w:pPr>
        <w:ind w:left="360" w:hanging="360"/>
      </w:pPr>
      <w:rPr>
        <w:b/>
        <w:i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num w:numId="1">
    <w:abstractNumId w:val="0"/>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DBB"/>
    <w:rsid w:val="00266212"/>
    <w:rsid w:val="00516DD3"/>
    <w:rsid w:val="006C68C3"/>
    <w:rsid w:val="00761E6B"/>
    <w:rsid w:val="00A0342C"/>
    <w:rsid w:val="00C77DBB"/>
    <w:rsid w:val="00CE4D95"/>
    <w:rsid w:val="00F22BDD"/>
    <w:rsid w:val="00F37D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733B7C2-6491-42E8-9C99-13B99C9416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68C3"/>
  </w:style>
  <w:style w:type="paragraph" w:styleId="Heading2">
    <w:name w:val="heading 2"/>
    <w:basedOn w:val="Normal"/>
    <w:link w:val="Heading2Char"/>
    <w:uiPriority w:val="9"/>
    <w:semiHidden/>
    <w:unhideWhenUsed/>
    <w:qFormat/>
    <w:rsid w:val="006C68C3"/>
    <w:pPr>
      <w:keepNext/>
      <w:ind w:left="810" w:hanging="810"/>
      <w:outlineLvl w:val="1"/>
    </w:pPr>
    <w:rPr>
      <w:rFonts w:ascii="Arial" w:hAnsi="Arial" w:cs="Arial"/>
      <w:b/>
      <w:bCs/>
      <w:sz w:val="28"/>
      <w:szCs w:val="28"/>
    </w:rPr>
  </w:style>
  <w:style w:type="paragraph" w:styleId="Heading4">
    <w:name w:val="heading 4"/>
    <w:basedOn w:val="Normal"/>
    <w:link w:val="Heading4Char"/>
    <w:uiPriority w:val="9"/>
    <w:semiHidden/>
    <w:unhideWhenUsed/>
    <w:qFormat/>
    <w:rsid w:val="006C68C3"/>
    <w:pPr>
      <w:keepNext/>
      <w:ind w:left="720" w:hanging="720"/>
      <w:outlineLvl w:val="3"/>
    </w:pPr>
    <w:rPr>
      <w:rFonts w:ascii="Arial" w:hAnsi="Arial"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7DB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7DBB"/>
    <w:rPr>
      <w:rFonts w:ascii="Segoe UI" w:hAnsi="Segoe UI" w:cs="Segoe UI"/>
      <w:sz w:val="18"/>
      <w:szCs w:val="18"/>
    </w:rPr>
  </w:style>
  <w:style w:type="character" w:customStyle="1" w:styleId="Heading2Char">
    <w:name w:val="Heading 2 Char"/>
    <w:basedOn w:val="DefaultParagraphFont"/>
    <w:link w:val="Heading2"/>
    <w:uiPriority w:val="9"/>
    <w:semiHidden/>
    <w:rsid w:val="006C68C3"/>
    <w:rPr>
      <w:rFonts w:ascii="Arial" w:hAnsi="Arial" w:cs="Arial"/>
      <w:b/>
      <w:bCs/>
      <w:sz w:val="28"/>
      <w:szCs w:val="28"/>
    </w:rPr>
  </w:style>
  <w:style w:type="character" w:customStyle="1" w:styleId="Heading4Char">
    <w:name w:val="Heading 4 Char"/>
    <w:basedOn w:val="DefaultParagraphFont"/>
    <w:link w:val="Heading4"/>
    <w:uiPriority w:val="9"/>
    <w:semiHidden/>
    <w:rsid w:val="006C68C3"/>
    <w:rPr>
      <w:rFonts w:ascii="Arial" w:hAnsi="Arial"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983343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3</Pages>
  <Words>506</Words>
  <Characters>2886</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WA Department of Ecology</Company>
  <LinksUpToDate>false</LinksUpToDate>
  <CharactersWithSpaces>3386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Goodman, Jodi (ECY)</dc:creator>
  <cp:keywords/>
  <dc:description/>
  <cp:lastModifiedBy>Goodman, Jodi (ECY)</cp:lastModifiedBy>
  <cp:revision>1</cp:revision>
  <cp:lastPrinted>2016-11-29T23:28:00Z</cp:lastPrinted>
  <dcterms:created xsi:type="dcterms:W3CDTF">2016-11-29T23:27:00Z</dcterms:created>
  <dcterms:modified xsi:type="dcterms:W3CDTF">2016-11-30T00:01:00Z</dcterms:modified>
</cp:coreProperties>
</file>