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D59833" w14:textId="459F0A7D" w:rsidR="00D64261" w:rsidRDefault="005B3168">
      <w:pPr>
        <w:rPr>
          <w:rFonts w:ascii="Arial" w:eastAsia="Arial" w:hAnsi="Arial" w:cs="Arial"/>
          <w:b/>
          <w:sz w:val="32"/>
          <w:szCs w:val="32"/>
        </w:rPr>
      </w:pPr>
      <w:r>
        <w:rPr>
          <w:rFonts w:ascii="Arial" w:eastAsia="Arial" w:hAnsi="Arial" w:cs="Arial"/>
          <w:b/>
          <w:sz w:val="32"/>
          <w:szCs w:val="32"/>
        </w:rPr>
        <w:t>PLL 086/2021</w:t>
      </w:r>
      <w:r w:rsidR="009A7CAB">
        <w:rPr>
          <w:rFonts w:ascii="Arial" w:eastAsia="Arial" w:hAnsi="Arial" w:cs="Arial"/>
          <w:b/>
          <w:sz w:val="32"/>
          <w:szCs w:val="32"/>
        </w:rPr>
        <w:t xml:space="preserve"> e Emenda Supressiva nº 001/2022</w:t>
      </w:r>
    </w:p>
    <w:p w14:paraId="483CAE6C" w14:textId="7857BF98" w:rsidR="00D64261" w:rsidRDefault="005B3168">
      <w:pPr>
        <w:rPr>
          <w:rFonts w:ascii="Arial" w:eastAsia="Arial" w:hAnsi="Arial" w:cs="Arial"/>
          <w:b/>
          <w:sz w:val="32"/>
          <w:szCs w:val="32"/>
        </w:rPr>
      </w:pPr>
      <w:r>
        <w:rPr>
          <w:rFonts w:ascii="Arial" w:eastAsia="Arial" w:hAnsi="Arial" w:cs="Arial"/>
          <w:b/>
          <w:sz w:val="32"/>
          <w:szCs w:val="32"/>
        </w:rPr>
        <w:t>Nº do Processo: 22824</w:t>
      </w:r>
      <w:r w:rsidR="009A7CAB">
        <w:rPr>
          <w:rFonts w:ascii="Arial" w:eastAsia="Arial" w:hAnsi="Arial" w:cs="Arial"/>
          <w:b/>
          <w:sz w:val="32"/>
          <w:szCs w:val="32"/>
        </w:rPr>
        <w:t xml:space="preserve"> e 23121/2022</w:t>
      </w:r>
    </w:p>
    <w:p w14:paraId="5AFC5387" w14:textId="77777777" w:rsidR="00D64261" w:rsidRDefault="005B3168">
      <w:pPr>
        <w:rPr>
          <w:rFonts w:ascii="Arial" w:eastAsia="Arial" w:hAnsi="Arial" w:cs="Arial"/>
          <w:b/>
          <w:sz w:val="32"/>
          <w:szCs w:val="32"/>
        </w:rPr>
      </w:pPr>
      <w:r>
        <w:rPr>
          <w:rFonts w:ascii="Arial" w:eastAsia="Arial" w:hAnsi="Arial" w:cs="Arial"/>
          <w:b/>
          <w:sz w:val="32"/>
          <w:szCs w:val="32"/>
        </w:rPr>
        <w:t>Requerente: Ver. Átila Andrade</w:t>
      </w:r>
    </w:p>
    <w:p w14:paraId="1D1D4A45" w14:textId="77777777" w:rsidR="00D64261" w:rsidRDefault="005B3168">
      <w:pPr>
        <w:rPr>
          <w:rFonts w:ascii="Arial" w:eastAsia="Arial" w:hAnsi="Arial" w:cs="Arial"/>
          <w:b/>
          <w:sz w:val="32"/>
          <w:szCs w:val="32"/>
        </w:rPr>
      </w:pPr>
      <w:r>
        <w:rPr>
          <w:rFonts w:ascii="Arial" w:eastAsia="Arial" w:hAnsi="Arial" w:cs="Arial"/>
          <w:b/>
          <w:sz w:val="32"/>
          <w:szCs w:val="32"/>
        </w:rPr>
        <w:t>Tipo de Proposição: Projeto de Lei do Legislativo (PLL)</w:t>
      </w:r>
    </w:p>
    <w:p w14:paraId="07B705F2" w14:textId="77777777" w:rsidR="00D64261" w:rsidRDefault="005B3168">
      <w:pPr>
        <w:rPr>
          <w:rFonts w:ascii="Arial" w:eastAsia="Arial" w:hAnsi="Arial" w:cs="Arial"/>
          <w:b/>
          <w:sz w:val="32"/>
          <w:szCs w:val="32"/>
        </w:rPr>
      </w:pPr>
      <w:r>
        <w:rPr>
          <w:rFonts w:ascii="Arial" w:eastAsia="Arial" w:hAnsi="Arial" w:cs="Arial"/>
          <w:b/>
          <w:sz w:val="32"/>
          <w:szCs w:val="32"/>
        </w:rPr>
        <w:t>Data de Conclusão à Procuradoria: 24/11/2021</w:t>
      </w:r>
    </w:p>
    <w:p w14:paraId="136BD654" w14:textId="77777777" w:rsidR="00D64261" w:rsidRDefault="00D64261">
      <w:pPr>
        <w:rPr>
          <w:rFonts w:ascii="Arial" w:eastAsia="Arial" w:hAnsi="Arial" w:cs="Arial"/>
          <w:sz w:val="28"/>
          <w:szCs w:val="28"/>
        </w:rPr>
      </w:pPr>
    </w:p>
    <w:p w14:paraId="2B0A1DF2" w14:textId="77777777" w:rsidR="00D64261" w:rsidRDefault="005B3168">
      <w:pPr>
        <w:rPr>
          <w:rFonts w:ascii="Arial" w:eastAsia="Arial" w:hAnsi="Arial" w:cs="Arial"/>
          <w:sz w:val="28"/>
          <w:szCs w:val="28"/>
        </w:rPr>
      </w:pPr>
      <w:r>
        <w:rPr>
          <w:rFonts w:ascii="Arial" w:eastAsia="Arial" w:hAnsi="Arial" w:cs="Arial"/>
          <w:b/>
          <w:sz w:val="28"/>
          <w:szCs w:val="28"/>
        </w:rPr>
        <w:t>RELATÓRIO</w:t>
      </w:r>
    </w:p>
    <w:p w14:paraId="3E2BA70E" w14:textId="77777777" w:rsidR="00D64261" w:rsidRDefault="00D64261">
      <w:pPr>
        <w:rPr>
          <w:rFonts w:ascii="Arial" w:eastAsia="Arial" w:hAnsi="Arial" w:cs="Arial"/>
          <w:sz w:val="28"/>
          <w:szCs w:val="28"/>
        </w:rPr>
      </w:pPr>
    </w:p>
    <w:p w14:paraId="2BB48B45" w14:textId="77777777" w:rsidR="00D64261" w:rsidRDefault="005B3168">
      <w:pPr>
        <w:jc w:val="both"/>
        <w:rPr>
          <w:rFonts w:ascii="Arial" w:eastAsia="Arial" w:hAnsi="Arial" w:cs="Arial"/>
          <w:sz w:val="28"/>
          <w:szCs w:val="28"/>
        </w:rPr>
      </w:pPr>
      <w:r>
        <w:rPr>
          <w:rFonts w:ascii="Arial" w:eastAsia="Arial" w:hAnsi="Arial" w:cs="Arial"/>
          <w:sz w:val="28"/>
          <w:szCs w:val="28"/>
        </w:rPr>
        <w:tab/>
        <w:t>Versa o expediente sobre proposição subscrita por Edil com assento nesta nobre Casa Legislativa, que solicita aprovação do colendo Plenário para Projeto de Lei que “</w:t>
      </w:r>
      <w:r>
        <w:rPr>
          <w:rFonts w:ascii="Arial" w:eastAsia="Arial" w:hAnsi="Arial" w:cs="Arial"/>
          <w:i/>
          <w:sz w:val="28"/>
          <w:szCs w:val="28"/>
        </w:rPr>
        <w:t>que determina a prioridade de atendimento no âmbito do Município de Sapucaia do Sul e garante acesso aos assentos prioritários no transporte coletivo aos pacientes que realizam tratamento de quimioterapia, radioterapia, hemodiálise ou que utilizam bolsa de colostomia.</w:t>
      </w:r>
      <w:r>
        <w:rPr>
          <w:rFonts w:ascii="Arial" w:eastAsia="Arial" w:hAnsi="Arial" w:cs="Arial"/>
          <w:sz w:val="28"/>
          <w:szCs w:val="28"/>
        </w:rPr>
        <w:t>”.</w:t>
      </w:r>
    </w:p>
    <w:p w14:paraId="484F9EF9" w14:textId="77777777" w:rsidR="00D64261" w:rsidRDefault="00D64261">
      <w:pPr>
        <w:jc w:val="both"/>
        <w:rPr>
          <w:rFonts w:ascii="Arial" w:eastAsia="Arial" w:hAnsi="Arial" w:cs="Arial"/>
          <w:sz w:val="28"/>
          <w:szCs w:val="28"/>
        </w:rPr>
      </w:pPr>
    </w:p>
    <w:p w14:paraId="3192862F" w14:textId="77777777" w:rsidR="00D64261" w:rsidRDefault="005B3168">
      <w:pPr>
        <w:ind w:firstLine="720"/>
        <w:jc w:val="both"/>
        <w:rPr>
          <w:rFonts w:ascii="Arial" w:eastAsia="Arial" w:hAnsi="Arial" w:cs="Arial"/>
          <w:sz w:val="28"/>
          <w:szCs w:val="28"/>
        </w:rPr>
      </w:pPr>
      <w:r>
        <w:rPr>
          <w:rFonts w:ascii="Arial" w:eastAsia="Arial" w:hAnsi="Arial" w:cs="Arial"/>
          <w:sz w:val="28"/>
          <w:szCs w:val="28"/>
        </w:rPr>
        <w:t>O processo tramita exclusivamente em formato digital, constam dos autos eletrônicos os seguintes documentos:</w:t>
      </w:r>
    </w:p>
    <w:p w14:paraId="5D3276BD" w14:textId="77777777" w:rsidR="00D64261" w:rsidRDefault="00D64261">
      <w:pPr>
        <w:jc w:val="both"/>
        <w:rPr>
          <w:rFonts w:ascii="Arial" w:eastAsia="Arial" w:hAnsi="Arial" w:cs="Arial"/>
          <w:sz w:val="28"/>
          <w:szCs w:val="28"/>
        </w:rPr>
      </w:pPr>
    </w:p>
    <w:p w14:paraId="74021D4E" w14:textId="77777777" w:rsidR="00D64261" w:rsidRDefault="005B3168">
      <w:pPr>
        <w:numPr>
          <w:ilvl w:val="0"/>
          <w:numId w:val="1"/>
        </w:numPr>
        <w:jc w:val="both"/>
        <w:rPr>
          <w:rFonts w:ascii="Arial" w:eastAsia="Arial" w:hAnsi="Arial" w:cs="Arial"/>
          <w:sz w:val="28"/>
          <w:szCs w:val="28"/>
        </w:rPr>
      </w:pPr>
      <w:r>
        <w:rPr>
          <w:rFonts w:ascii="Arial" w:eastAsia="Arial" w:hAnsi="Arial" w:cs="Arial"/>
          <w:sz w:val="28"/>
          <w:szCs w:val="28"/>
        </w:rPr>
        <w:t>ID 33453 (página única);</w:t>
      </w:r>
    </w:p>
    <w:p w14:paraId="102B21B7" w14:textId="77777777" w:rsidR="00D64261" w:rsidRDefault="005B3168">
      <w:pPr>
        <w:numPr>
          <w:ilvl w:val="0"/>
          <w:numId w:val="1"/>
        </w:numPr>
        <w:jc w:val="both"/>
        <w:rPr>
          <w:rFonts w:ascii="Arial" w:eastAsia="Arial" w:hAnsi="Arial" w:cs="Arial"/>
          <w:sz w:val="28"/>
          <w:szCs w:val="28"/>
        </w:rPr>
      </w:pPr>
      <w:r>
        <w:rPr>
          <w:rFonts w:ascii="Arial" w:eastAsia="Arial" w:hAnsi="Arial" w:cs="Arial"/>
          <w:sz w:val="28"/>
          <w:szCs w:val="28"/>
        </w:rPr>
        <w:t>ID 33515 (página única);</w:t>
      </w:r>
    </w:p>
    <w:p w14:paraId="61B91E01" w14:textId="595E1298" w:rsidR="00D64261" w:rsidRDefault="00D64261">
      <w:pPr>
        <w:spacing w:line="360" w:lineRule="auto"/>
        <w:jc w:val="both"/>
        <w:rPr>
          <w:rFonts w:ascii="Arial" w:eastAsia="Arial" w:hAnsi="Arial" w:cs="Arial"/>
          <w:sz w:val="28"/>
          <w:szCs w:val="28"/>
        </w:rPr>
      </w:pPr>
    </w:p>
    <w:p w14:paraId="08FC2C1C" w14:textId="4394E87E" w:rsidR="009A7CAB" w:rsidRDefault="009A7CAB">
      <w:pPr>
        <w:spacing w:line="360" w:lineRule="auto"/>
        <w:jc w:val="both"/>
        <w:rPr>
          <w:rFonts w:ascii="Arial" w:eastAsia="Arial" w:hAnsi="Arial" w:cs="Arial"/>
          <w:sz w:val="28"/>
          <w:szCs w:val="28"/>
        </w:rPr>
      </w:pPr>
      <w:r>
        <w:rPr>
          <w:rFonts w:ascii="Arial" w:eastAsia="Arial" w:hAnsi="Arial" w:cs="Arial"/>
          <w:sz w:val="28"/>
          <w:szCs w:val="28"/>
        </w:rPr>
        <w:t>Em análise também, Emenda Supressiva nº 001/2022 – Proc. 23121/2022.</w:t>
      </w:r>
    </w:p>
    <w:p w14:paraId="02A73920" w14:textId="77777777" w:rsidR="009A7CAB" w:rsidRDefault="009A7CAB">
      <w:pPr>
        <w:spacing w:line="360" w:lineRule="auto"/>
        <w:jc w:val="both"/>
        <w:rPr>
          <w:rFonts w:ascii="Arial" w:eastAsia="Arial" w:hAnsi="Arial" w:cs="Arial"/>
          <w:sz w:val="28"/>
          <w:szCs w:val="28"/>
        </w:rPr>
      </w:pPr>
    </w:p>
    <w:p w14:paraId="15C0F2DE" w14:textId="77777777" w:rsidR="00D64261" w:rsidRDefault="005B3168">
      <w:pPr>
        <w:rPr>
          <w:rFonts w:ascii="Arial" w:eastAsia="Arial" w:hAnsi="Arial" w:cs="Arial"/>
          <w:sz w:val="28"/>
          <w:szCs w:val="28"/>
        </w:rPr>
      </w:pPr>
      <w:r>
        <w:rPr>
          <w:rFonts w:ascii="Arial" w:eastAsia="Arial" w:hAnsi="Arial" w:cs="Arial"/>
          <w:b/>
          <w:sz w:val="28"/>
          <w:szCs w:val="28"/>
        </w:rPr>
        <w:t>PARECER</w:t>
      </w:r>
    </w:p>
    <w:p w14:paraId="2631F4B5" w14:textId="77777777" w:rsidR="00D64261" w:rsidRDefault="00D64261">
      <w:pPr>
        <w:rPr>
          <w:rFonts w:ascii="Arial" w:eastAsia="Arial" w:hAnsi="Arial" w:cs="Arial"/>
          <w:sz w:val="28"/>
          <w:szCs w:val="28"/>
        </w:rPr>
      </w:pPr>
    </w:p>
    <w:p w14:paraId="65859739" w14:textId="77777777" w:rsidR="00D64261" w:rsidRDefault="00D64261">
      <w:pPr>
        <w:rPr>
          <w:rFonts w:ascii="Arial" w:eastAsia="Arial" w:hAnsi="Arial" w:cs="Arial"/>
          <w:sz w:val="28"/>
          <w:szCs w:val="28"/>
        </w:rPr>
      </w:pPr>
    </w:p>
    <w:p w14:paraId="51074CE2" w14:textId="77777777" w:rsidR="00D64261" w:rsidRDefault="005B3168">
      <w:pPr>
        <w:spacing w:line="360" w:lineRule="auto"/>
        <w:rPr>
          <w:rFonts w:ascii="Arial" w:eastAsia="Arial" w:hAnsi="Arial" w:cs="Arial"/>
          <w:sz w:val="28"/>
          <w:szCs w:val="28"/>
        </w:rPr>
      </w:pPr>
      <w:r>
        <w:rPr>
          <w:rFonts w:ascii="Arial" w:eastAsia="Arial" w:hAnsi="Arial" w:cs="Arial"/>
          <w:sz w:val="28"/>
          <w:szCs w:val="28"/>
        </w:rPr>
        <w:tab/>
        <w:t>Abordaremos a matéria tratada no presente Projeto de Lei a partir dos seguintes arestos jurisprudenciais:</w:t>
      </w:r>
    </w:p>
    <w:p w14:paraId="201D5883" w14:textId="77777777" w:rsidR="00D64261" w:rsidRDefault="00D64261">
      <w:pPr>
        <w:ind w:left="2880"/>
        <w:jc w:val="both"/>
        <w:rPr>
          <w:rFonts w:ascii="Arial" w:eastAsia="Arial" w:hAnsi="Arial" w:cs="Arial"/>
          <w:sz w:val="28"/>
          <w:szCs w:val="28"/>
        </w:rPr>
      </w:pPr>
    </w:p>
    <w:p w14:paraId="20D96E56" w14:textId="77777777" w:rsidR="00D64261" w:rsidRDefault="005B3168">
      <w:pPr>
        <w:ind w:left="2880"/>
        <w:jc w:val="both"/>
        <w:rPr>
          <w:rFonts w:ascii="Arial" w:eastAsia="Arial" w:hAnsi="Arial" w:cs="Arial"/>
          <w:sz w:val="28"/>
          <w:szCs w:val="28"/>
        </w:rPr>
      </w:pPr>
      <w:r>
        <w:rPr>
          <w:rFonts w:ascii="Arial" w:eastAsia="Arial" w:hAnsi="Arial" w:cs="Arial"/>
          <w:sz w:val="28"/>
          <w:szCs w:val="28"/>
        </w:rPr>
        <w:t xml:space="preserve">Ementa: AÇÃO DIRETA DE INCONSTITUCIONALIDADE. PROCESSO LEGISLATIVO. AUSÊNCIA DE VÍCIO FORMAL DE INICIATIVA NA ELABORAÇÃO DA LEI MUNICIPAL Nº 1.671/2007 DE NOVO HAMBURGO QUE CONCEDE O DIREITO À PRIORIDADE DE ATENDIMENTO EM </w:t>
      </w:r>
      <w:r>
        <w:rPr>
          <w:rFonts w:ascii="Arial" w:eastAsia="Arial" w:hAnsi="Arial" w:cs="Arial"/>
          <w:sz w:val="28"/>
          <w:szCs w:val="28"/>
        </w:rPr>
        <w:lastRenderedPageBreak/>
        <w:t>HOSPITAIS E POSTOS DE SAÚDE (EXCETO EMERGENCIAIS), ÀS PESSOAS IDOSAS E PORTADORAS DE DEFICIÊNCIA. INICIATIVA CONCORRENTE DOS PODERES LEGISLATIVO E EXECUTIVO. Assim como na esfera da União não é conferida exclusividade de iniciativa para projetos de lei que disponham sobre serviços públicos federais, salvo dos Territórios, não poderia, não pode, e como efetivamente não fez o constituinte estadual reservar ao Governador a prerrogativa.</w:t>
      </w:r>
      <w:r>
        <w:rPr>
          <w:rFonts w:ascii="Arial" w:eastAsia="Arial" w:hAnsi="Arial" w:cs="Arial"/>
          <w:b/>
          <w:sz w:val="28"/>
          <w:szCs w:val="28"/>
        </w:rPr>
        <w:t xml:space="preserve"> Tanto que na Constituição do Estado do Rio Grande do Sul, por conta do modelo federal, não há dispositivo que confira ao Chefe do Executivo reserva de iniciativa de leis sobre serviços públicos.</w:t>
      </w:r>
      <w:r>
        <w:rPr>
          <w:rFonts w:ascii="Arial" w:eastAsia="Arial" w:hAnsi="Arial" w:cs="Arial"/>
          <w:sz w:val="28"/>
          <w:szCs w:val="28"/>
        </w:rPr>
        <w:t xml:space="preserve"> Confira-se o art. 82 da CE. Forçoso reconhecer, assim, a ausência de qualquer vício de iniciativa na elaboração da Lei Municipal nº 1.671/2007, que assegura o direito à prioridade de atendimento em hospitais e postos de saúde (exceto emergenciais), sediados no Município de Novo Hamburgo, às pessoas idosas e portadoras de deficiência. Aos idosos e deficientes, a Constituição Federal consagra especial proteção, outorgando-lhes garantias distintas e específicas com vistas a promover sua inserção social, como dispõem os seguintes </w:t>
      </w:r>
      <w:proofErr w:type="gramStart"/>
      <w:r>
        <w:rPr>
          <w:rFonts w:ascii="Arial" w:eastAsia="Arial" w:hAnsi="Arial" w:cs="Arial"/>
          <w:sz w:val="28"/>
          <w:szCs w:val="28"/>
        </w:rPr>
        <w:t>preceitos :</w:t>
      </w:r>
      <w:proofErr w:type="gramEnd"/>
      <w:r>
        <w:rPr>
          <w:rFonts w:ascii="Arial" w:eastAsia="Arial" w:hAnsi="Arial" w:cs="Arial"/>
          <w:sz w:val="28"/>
          <w:szCs w:val="28"/>
        </w:rPr>
        <w:t xml:space="preserve"> artigos 7º, XXXI, 23, II, 24, XIV, 37, VIII, 203, IV e V, 208, III, 227, parágrafos 1º, II, e 2º, 230 e 244. Daí que a legislação municipal não só podia como pode e deve obrigatoriamente amparar, e como efetivamente amparou os idosos e os portadores de deficiência em ordem de atenuar as dificuldades que lhes são próprias seja de inserção social, seja de relacionamento humano e atendimento médico-hospitalar. </w:t>
      </w:r>
      <w:r>
        <w:rPr>
          <w:rFonts w:ascii="Arial" w:eastAsia="Arial" w:hAnsi="Arial" w:cs="Arial"/>
          <w:b/>
          <w:sz w:val="28"/>
          <w:szCs w:val="28"/>
        </w:rPr>
        <w:t>Inconstitucionalidade na parte que estipula prazo para edição do regulamento pelo Poder Executivo, por desafeição aos princípios da harmonia e independência entre poderes.</w:t>
      </w:r>
      <w:r>
        <w:rPr>
          <w:rFonts w:ascii="Arial" w:eastAsia="Arial" w:hAnsi="Arial" w:cs="Arial"/>
          <w:sz w:val="28"/>
          <w:szCs w:val="28"/>
        </w:rPr>
        <w:t xml:space="preserve"> AÇÃO JULGADA PARCIALMENTE PROCEDENTE. UNÂNIME.</w:t>
      </w:r>
    </w:p>
    <w:p w14:paraId="506A9D6D" w14:textId="77777777" w:rsidR="00D64261" w:rsidRDefault="00D64261">
      <w:pPr>
        <w:ind w:left="2880"/>
        <w:jc w:val="both"/>
        <w:rPr>
          <w:rFonts w:ascii="Arial" w:eastAsia="Arial" w:hAnsi="Arial" w:cs="Arial"/>
          <w:sz w:val="28"/>
          <w:szCs w:val="28"/>
        </w:rPr>
      </w:pPr>
    </w:p>
    <w:p w14:paraId="252643AE" w14:textId="77777777" w:rsidR="00D64261" w:rsidRDefault="005B3168">
      <w:pPr>
        <w:ind w:left="2880"/>
        <w:jc w:val="both"/>
        <w:rPr>
          <w:rFonts w:ascii="Arial" w:eastAsia="Arial" w:hAnsi="Arial" w:cs="Arial"/>
          <w:sz w:val="28"/>
          <w:szCs w:val="28"/>
        </w:rPr>
      </w:pPr>
      <w:r>
        <w:rPr>
          <w:rFonts w:ascii="Arial" w:eastAsia="Arial" w:hAnsi="Arial" w:cs="Arial"/>
          <w:sz w:val="28"/>
          <w:szCs w:val="28"/>
        </w:rPr>
        <w:lastRenderedPageBreak/>
        <w:t xml:space="preserve">(Ação Direta de Inconstitucionalidade, Nº 70027105352, Tribunal Pleno, Tribunal de Justiça do RS, Relator: Genaro José </w:t>
      </w:r>
      <w:proofErr w:type="spellStart"/>
      <w:r>
        <w:rPr>
          <w:rFonts w:ascii="Arial" w:eastAsia="Arial" w:hAnsi="Arial" w:cs="Arial"/>
          <w:sz w:val="28"/>
          <w:szCs w:val="28"/>
        </w:rPr>
        <w:t>Baroni</w:t>
      </w:r>
      <w:proofErr w:type="spellEnd"/>
      <w:r>
        <w:rPr>
          <w:rFonts w:ascii="Arial" w:eastAsia="Arial" w:hAnsi="Arial" w:cs="Arial"/>
          <w:sz w:val="28"/>
          <w:szCs w:val="28"/>
        </w:rPr>
        <w:t xml:space="preserve"> Borges, Julgado em: 14-12-2009)</w:t>
      </w:r>
    </w:p>
    <w:p w14:paraId="47FF1EF6" w14:textId="77777777" w:rsidR="00D64261" w:rsidRDefault="005B3168">
      <w:pPr>
        <w:ind w:left="2880"/>
        <w:jc w:val="both"/>
        <w:rPr>
          <w:rFonts w:ascii="Arial" w:eastAsia="Arial" w:hAnsi="Arial" w:cs="Arial"/>
          <w:sz w:val="28"/>
          <w:szCs w:val="28"/>
        </w:rPr>
      </w:pPr>
      <w:r>
        <w:rPr>
          <w:rFonts w:ascii="Arial" w:eastAsia="Arial" w:hAnsi="Arial" w:cs="Arial"/>
          <w:sz w:val="28"/>
          <w:szCs w:val="28"/>
        </w:rPr>
        <w:t xml:space="preserve">DIRETA DE INCONSTITUCIONALIDADE - LEI Nº 3.889, DE 17 DE FEVEREIRO DE 2. 020, DO MUNICÍPIO DE MAIRIPORÃ, DE INICIATIVA PARLAMENTAR, QUE DISPÕE SOBRE a </w:t>
      </w:r>
      <w:r>
        <w:rPr>
          <w:rFonts w:ascii="Arial" w:eastAsia="Arial" w:hAnsi="Arial" w:cs="Arial"/>
          <w:b/>
          <w:sz w:val="28"/>
          <w:szCs w:val="28"/>
        </w:rPr>
        <w:t>preferência de idosos, mulheres grávidas ou com criança de colo e pessoas com deficiência ou mobilidade reduzida nos assentos do transporte coletivo</w:t>
      </w:r>
      <w:r>
        <w:rPr>
          <w:rFonts w:ascii="Arial" w:eastAsia="Arial" w:hAnsi="Arial" w:cs="Arial"/>
          <w:sz w:val="28"/>
          <w:szCs w:val="28"/>
        </w:rPr>
        <w:t xml:space="preserve"> - ALEGAÇÃO DE AFRONTA AOS ARTIGOS 24 E 47, DA CONSTITUIÇÃO ESTADUAL QUE ESTABELECEM AS MATÉRIAS DE COMPETÊNCIA E AS QUE DEVEM SER TRATADAS POR LEI DE INICIATIVA PRIVATIVA DO CHEFE DO EXECUTIVO – PODER LEGISLATIVO QUE POSSUI COMPETÊNCIA PARA ESTABELECER A POLÍTICA DE PROTEÇÃO AO IDOSO, PESSOAS VULNERÁVEIS E/OU COM DEFICIÊNCIA – </w:t>
      </w:r>
      <w:r>
        <w:rPr>
          <w:rFonts w:ascii="Arial" w:eastAsia="Arial" w:hAnsi="Arial" w:cs="Arial"/>
          <w:b/>
          <w:sz w:val="28"/>
          <w:szCs w:val="28"/>
        </w:rPr>
        <w:t>IMPOSSIBILIDADE, ENTRETANTO, DE DETERMINAÇÃO DA FORMA E PRAZO PARA IMPLEMENTAÇÃO DA POLÍTICA</w:t>
      </w:r>
      <w:r>
        <w:rPr>
          <w:rFonts w:ascii="Arial" w:eastAsia="Arial" w:hAnsi="Arial" w:cs="Arial"/>
          <w:sz w:val="28"/>
          <w:szCs w:val="28"/>
        </w:rPr>
        <w:t xml:space="preserve"> – PARCIAL PROCEDÊNCIA DA AÇÃO PARA DECLARAÇÃO DE INCONSTITUCIONALIDADE DOS ARTIGOS 2º E 3º, DA NORMA IMPUGNADA (LEI Nº 3.889/2020, DO MUNICÍPIO DE MAIRIPORÃ).</w:t>
      </w:r>
    </w:p>
    <w:p w14:paraId="2153986A" w14:textId="77777777" w:rsidR="00D64261" w:rsidRDefault="00D64261">
      <w:pPr>
        <w:ind w:left="2880"/>
        <w:jc w:val="both"/>
        <w:rPr>
          <w:rFonts w:ascii="Arial" w:eastAsia="Arial" w:hAnsi="Arial" w:cs="Arial"/>
          <w:sz w:val="28"/>
          <w:szCs w:val="28"/>
        </w:rPr>
      </w:pPr>
    </w:p>
    <w:p w14:paraId="1F0AD434" w14:textId="77777777" w:rsidR="00D64261" w:rsidRDefault="005B3168">
      <w:pPr>
        <w:ind w:left="2880"/>
        <w:jc w:val="both"/>
        <w:rPr>
          <w:rFonts w:ascii="Arial" w:eastAsia="Arial" w:hAnsi="Arial" w:cs="Arial"/>
          <w:sz w:val="28"/>
          <w:szCs w:val="28"/>
        </w:rPr>
      </w:pPr>
      <w:r>
        <w:rPr>
          <w:rFonts w:ascii="Arial" w:eastAsia="Arial" w:hAnsi="Arial" w:cs="Arial"/>
          <w:sz w:val="28"/>
          <w:szCs w:val="28"/>
        </w:rPr>
        <w:t>(TJ-SP - ADI: 21976936020208260000 SP 2197693-60.2020.8.26.0000, Relator: Ferraz de Arruda, Data de Julgamento: 11/08/2021, Órgão Especial, Data de Publicação: 13/08/2021)</w:t>
      </w:r>
    </w:p>
    <w:p w14:paraId="7D7BA37B" w14:textId="77777777" w:rsidR="00D64261" w:rsidRDefault="00D64261">
      <w:pPr>
        <w:spacing w:line="360" w:lineRule="auto"/>
        <w:jc w:val="both"/>
        <w:rPr>
          <w:rFonts w:ascii="Arial" w:eastAsia="Arial" w:hAnsi="Arial" w:cs="Arial"/>
          <w:sz w:val="28"/>
          <w:szCs w:val="28"/>
        </w:rPr>
      </w:pPr>
    </w:p>
    <w:p w14:paraId="0B3BA8A9" w14:textId="77777777" w:rsidR="00D64261" w:rsidRDefault="00D64261">
      <w:pPr>
        <w:spacing w:line="360" w:lineRule="auto"/>
        <w:jc w:val="both"/>
        <w:rPr>
          <w:rFonts w:ascii="Arial" w:eastAsia="Arial" w:hAnsi="Arial" w:cs="Arial"/>
          <w:sz w:val="28"/>
          <w:szCs w:val="28"/>
        </w:rPr>
      </w:pPr>
    </w:p>
    <w:p w14:paraId="643C90A6" w14:textId="77777777" w:rsidR="009A7CAB" w:rsidRDefault="005B3168">
      <w:pPr>
        <w:spacing w:line="360" w:lineRule="auto"/>
        <w:ind w:firstLine="720"/>
        <w:jc w:val="both"/>
        <w:rPr>
          <w:rFonts w:ascii="Arial" w:eastAsia="Arial" w:hAnsi="Arial" w:cs="Arial"/>
          <w:sz w:val="28"/>
          <w:szCs w:val="28"/>
        </w:rPr>
      </w:pPr>
      <w:r>
        <w:rPr>
          <w:rFonts w:ascii="Arial" w:eastAsia="Arial" w:hAnsi="Arial" w:cs="Arial"/>
          <w:sz w:val="28"/>
          <w:szCs w:val="28"/>
        </w:rPr>
        <w:t xml:space="preserve">Como vimos, não há reserva de iniciativa ao Poder Executivo para projetos de lei que disponham sobre políticas de proteção social. Logo, a conclusão deve ser no sentido que a edição de legislação que trata de assegurar direito à prioridade de atendimento a pessoas em situação de </w:t>
      </w:r>
      <w:r>
        <w:rPr>
          <w:rFonts w:ascii="Arial" w:eastAsia="Arial" w:hAnsi="Arial" w:cs="Arial"/>
          <w:sz w:val="28"/>
          <w:szCs w:val="28"/>
        </w:rPr>
        <w:lastRenderedPageBreak/>
        <w:t xml:space="preserve">fragilidade está ao alcance do poder de iniciativa parlamentar, sendo vedado apenas a fixação de forma e prazo para regulamentação pelo Poder Executivo, situação que violaria os princípios da harmonia e independência entre poderes. </w:t>
      </w:r>
    </w:p>
    <w:p w14:paraId="6C9BCF76" w14:textId="77777777" w:rsidR="009A7CAB" w:rsidRDefault="009A7CAB">
      <w:pPr>
        <w:spacing w:line="360" w:lineRule="auto"/>
        <w:ind w:firstLine="720"/>
        <w:jc w:val="both"/>
        <w:rPr>
          <w:rFonts w:ascii="Arial" w:eastAsia="Arial" w:hAnsi="Arial" w:cs="Arial"/>
          <w:sz w:val="28"/>
          <w:szCs w:val="28"/>
        </w:rPr>
      </w:pPr>
    </w:p>
    <w:p w14:paraId="0AC2225B" w14:textId="3072E1B3" w:rsidR="00D64261" w:rsidRDefault="005B3168">
      <w:pPr>
        <w:spacing w:line="360" w:lineRule="auto"/>
        <w:ind w:firstLine="720"/>
        <w:jc w:val="both"/>
        <w:rPr>
          <w:rFonts w:ascii="Arial" w:eastAsia="Arial" w:hAnsi="Arial" w:cs="Arial"/>
          <w:i/>
          <w:sz w:val="28"/>
          <w:szCs w:val="28"/>
        </w:rPr>
      </w:pPr>
      <w:r>
        <w:rPr>
          <w:rFonts w:ascii="Arial" w:eastAsia="Arial" w:hAnsi="Arial" w:cs="Arial"/>
          <w:sz w:val="28"/>
          <w:szCs w:val="28"/>
        </w:rPr>
        <w:t xml:space="preserve">A esse respeito, necessário, portanto, lançar competente </w:t>
      </w:r>
      <w:r>
        <w:rPr>
          <w:rFonts w:ascii="Arial" w:eastAsia="Arial" w:hAnsi="Arial" w:cs="Arial"/>
          <w:b/>
          <w:sz w:val="28"/>
          <w:szCs w:val="28"/>
          <w:u w:val="single"/>
        </w:rPr>
        <w:t>ressalva</w:t>
      </w:r>
      <w:r>
        <w:rPr>
          <w:rFonts w:ascii="Arial" w:eastAsia="Arial" w:hAnsi="Arial" w:cs="Arial"/>
          <w:sz w:val="28"/>
          <w:szCs w:val="28"/>
        </w:rPr>
        <w:t xml:space="preserve"> ao texto do art. 3º da proposição, que </w:t>
      </w:r>
      <w:r>
        <w:rPr>
          <w:rFonts w:ascii="Arial" w:eastAsia="Arial" w:hAnsi="Arial" w:cs="Arial"/>
          <w:i/>
          <w:sz w:val="28"/>
          <w:szCs w:val="28"/>
        </w:rPr>
        <w:t>trata sobre a forma de concessão do direito preconizado.</w:t>
      </w:r>
    </w:p>
    <w:p w14:paraId="424955F0" w14:textId="12729DB9" w:rsidR="009A7CAB" w:rsidRDefault="009A7CAB">
      <w:pPr>
        <w:spacing w:line="360" w:lineRule="auto"/>
        <w:ind w:firstLine="720"/>
        <w:jc w:val="both"/>
        <w:rPr>
          <w:rFonts w:ascii="Arial" w:eastAsia="Arial" w:hAnsi="Arial" w:cs="Arial"/>
          <w:i/>
          <w:sz w:val="28"/>
          <w:szCs w:val="28"/>
        </w:rPr>
      </w:pPr>
    </w:p>
    <w:p w14:paraId="52198B43" w14:textId="3E0A406B" w:rsidR="009A7CAB" w:rsidRPr="009A7CAB" w:rsidRDefault="009A7CAB">
      <w:pPr>
        <w:spacing w:line="360" w:lineRule="auto"/>
        <w:ind w:firstLine="720"/>
        <w:jc w:val="both"/>
        <w:rPr>
          <w:rFonts w:ascii="Arial" w:eastAsia="Arial" w:hAnsi="Arial" w:cs="Arial"/>
          <w:iCs/>
          <w:sz w:val="28"/>
          <w:szCs w:val="28"/>
        </w:rPr>
      </w:pPr>
      <w:r>
        <w:rPr>
          <w:rFonts w:ascii="Arial" w:eastAsia="Arial" w:hAnsi="Arial" w:cs="Arial"/>
          <w:iCs/>
          <w:sz w:val="28"/>
          <w:szCs w:val="28"/>
        </w:rPr>
        <w:t>Contudo, conforme se verifica, o Vereador autor do respectivo Projeto de Lei Legislativo procedeu com a readequação do texto, encaminhando Emenda 001/2022 – Emenda Supressiva (Proc. 23121/2022), tornando assim o Projeto totalmente regular para devida tramitação.</w:t>
      </w:r>
    </w:p>
    <w:p w14:paraId="54ACB10F" w14:textId="77777777" w:rsidR="00D64261" w:rsidRDefault="005B3168">
      <w:pPr>
        <w:spacing w:before="240" w:line="360" w:lineRule="auto"/>
        <w:ind w:firstLine="700"/>
        <w:jc w:val="both"/>
        <w:rPr>
          <w:rFonts w:ascii="Arial" w:eastAsia="Arial" w:hAnsi="Arial" w:cs="Arial"/>
          <w:sz w:val="28"/>
          <w:szCs w:val="28"/>
        </w:rPr>
      </w:pPr>
      <w:r>
        <w:rPr>
          <w:rFonts w:ascii="Arial" w:eastAsia="Arial" w:hAnsi="Arial" w:cs="Arial"/>
          <w:sz w:val="28"/>
          <w:szCs w:val="28"/>
        </w:rPr>
        <w:t xml:space="preserve">No trâmite do processo legislativo, por sua vez, anotamos que a deliberação pelo plenário da nobre Casa Legislativa deve ser precedida da manifestação das seguintes comissões permanentes: </w:t>
      </w:r>
    </w:p>
    <w:p w14:paraId="0011688A" w14:textId="77777777" w:rsidR="00D64261" w:rsidRDefault="005B3168">
      <w:pPr>
        <w:spacing w:before="240" w:line="276" w:lineRule="auto"/>
        <w:jc w:val="both"/>
        <w:rPr>
          <w:rFonts w:ascii="Arial" w:eastAsia="Arial" w:hAnsi="Arial" w:cs="Arial"/>
          <w:sz w:val="28"/>
          <w:szCs w:val="28"/>
        </w:rPr>
      </w:pPr>
      <w:r>
        <w:rPr>
          <w:rFonts w:ascii="Arial" w:eastAsia="Arial" w:hAnsi="Arial" w:cs="Arial"/>
          <w:sz w:val="28"/>
          <w:szCs w:val="28"/>
        </w:rPr>
        <w:t xml:space="preserve">a)  </w:t>
      </w:r>
      <w:r>
        <w:rPr>
          <w:rFonts w:ascii="Arial" w:eastAsia="Arial" w:hAnsi="Arial" w:cs="Arial"/>
          <w:sz w:val="28"/>
          <w:szCs w:val="28"/>
        </w:rPr>
        <w:tab/>
        <w:t>LEGISLAÇÃO E JUSTIÇA, por ser condição de tramitação do processo legislativo para todas as proposições em geral:</w:t>
      </w:r>
    </w:p>
    <w:p w14:paraId="36E432AD" w14:textId="77777777" w:rsidR="00D64261" w:rsidRDefault="005B3168">
      <w:pPr>
        <w:spacing w:before="240" w:line="276" w:lineRule="auto"/>
        <w:jc w:val="both"/>
        <w:rPr>
          <w:rFonts w:ascii="Arial" w:eastAsia="Arial" w:hAnsi="Arial" w:cs="Arial"/>
          <w:sz w:val="28"/>
          <w:szCs w:val="28"/>
        </w:rPr>
      </w:pPr>
      <w:r>
        <w:rPr>
          <w:rFonts w:ascii="Arial" w:eastAsia="Arial" w:hAnsi="Arial" w:cs="Arial"/>
          <w:sz w:val="28"/>
          <w:szCs w:val="28"/>
        </w:rPr>
        <w:t xml:space="preserve"> </w:t>
      </w:r>
    </w:p>
    <w:p w14:paraId="6B78E7B2" w14:textId="77777777" w:rsidR="00D64261" w:rsidRDefault="005B3168">
      <w:pPr>
        <w:spacing w:line="276" w:lineRule="auto"/>
        <w:ind w:left="3540"/>
        <w:jc w:val="both"/>
        <w:rPr>
          <w:rFonts w:ascii="Arial" w:eastAsia="Arial" w:hAnsi="Arial" w:cs="Arial"/>
          <w:sz w:val="28"/>
          <w:szCs w:val="28"/>
        </w:rPr>
      </w:pPr>
      <w:r>
        <w:rPr>
          <w:rFonts w:ascii="Arial" w:eastAsia="Arial" w:hAnsi="Arial" w:cs="Arial"/>
          <w:sz w:val="28"/>
          <w:szCs w:val="28"/>
        </w:rPr>
        <w:t>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w:t>
      </w:r>
    </w:p>
    <w:p w14:paraId="185D7EC5" w14:textId="77777777" w:rsidR="00D64261" w:rsidRDefault="005B3168">
      <w:pPr>
        <w:spacing w:line="276" w:lineRule="auto"/>
        <w:ind w:left="3540"/>
        <w:jc w:val="both"/>
        <w:rPr>
          <w:rFonts w:ascii="Arial" w:eastAsia="Arial" w:hAnsi="Arial" w:cs="Arial"/>
          <w:sz w:val="28"/>
          <w:szCs w:val="28"/>
        </w:rPr>
      </w:pPr>
      <w:r>
        <w:rPr>
          <w:rFonts w:ascii="Arial" w:eastAsia="Arial" w:hAnsi="Arial" w:cs="Arial"/>
          <w:sz w:val="28"/>
          <w:szCs w:val="28"/>
        </w:rPr>
        <w:t xml:space="preserve">§ 1º- Salvo expressa disposição em contrário deste Regimento, é obrigatória a audiência da Comissão de Legislação e Justiça em </w:t>
      </w:r>
      <w:r>
        <w:rPr>
          <w:rFonts w:ascii="Arial" w:eastAsia="Arial" w:hAnsi="Arial" w:cs="Arial"/>
          <w:sz w:val="28"/>
          <w:szCs w:val="28"/>
        </w:rPr>
        <w:lastRenderedPageBreak/>
        <w:t>todos os projetos de lei e determinadas matérias que tramitarem pela Câmara.</w:t>
      </w:r>
    </w:p>
    <w:p w14:paraId="55D4FCA5" w14:textId="77777777" w:rsidR="00D64261" w:rsidRDefault="005B3168">
      <w:pPr>
        <w:spacing w:before="240" w:line="276" w:lineRule="auto"/>
        <w:jc w:val="both"/>
        <w:rPr>
          <w:rFonts w:ascii="Arial" w:eastAsia="Arial" w:hAnsi="Arial" w:cs="Arial"/>
          <w:sz w:val="28"/>
          <w:szCs w:val="28"/>
        </w:rPr>
      </w:pPr>
      <w:r>
        <w:rPr>
          <w:rFonts w:ascii="Arial" w:eastAsia="Arial" w:hAnsi="Arial" w:cs="Arial"/>
          <w:sz w:val="28"/>
          <w:szCs w:val="28"/>
        </w:rPr>
        <w:t>b) SAÚDE, por competência específica, eis que a proposição envolve matéria relacionada à tal área, e também à assistência social:</w:t>
      </w:r>
    </w:p>
    <w:p w14:paraId="66ED1ECE" w14:textId="77777777" w:rsidR="00D64261" w:rsidRDefault="00D64261">
      <w:pPr>
        <w:spacing w:before="240" w:line="276" w:lineRule="auto"/>
        <w:jc w:val="both"/>
        <w:rPr>
          <w:rFonts w:ascii="Arial" w:eastAsia="Arial" w:hAnsi="Arial" w:cs="Arial"/>
          <w:sz w:val="28"/>
          <w:szCs w:val="28"/>
        </w:rPr>
      </w:pPr>
    </w:p>
    <w:p w14:paraId="31C3AF03" w14:textId="77777777" w:rsidR="00D64261" w:rsidRDefault="005B3168">
      <w:pPr>
        <w:spacing w:line="276" w:lineRule="auto"/>
        <w:ind w:left="3540"/>
        <w:jc w:val="both"/>
        <w:rPr>
          <w:rFonts w:ascii="Arial" w:eastAsia="Arial" w:hAnsi="Arial" w:cs="Arial"/>
          <w:sz w:val="28"/>
          <w:szCs w:val="28"/>
        </w:rPr>
      </w:pPr>
      <w:r>
        <w:rPr>
          <w:rFonts w:ascii="Arial" w:eastAsia="Arial" w:hAnsi="Arial" w:cs="Arial"/>
          <w:sz w:val="28"/>
          <w:szCs w:val="28"/>
        </w:rPr>
        <w:t xml:space="preserve">Art. 79- O assuntos relativos à </w:t>
      </w:r>
      <w:proofErr w:type="gramStart"/>
      <w:r>
        <w:rPr>
          <w:rFonts w:ascii="Arial" w:eastAsia="Arial" w:hAnsi="Arial" w:cs="Arial"/>
          <w:sz w:val="28"/>
          <w:szCs w:val="28"/>
        </w:rPr>
        <w:t>Educação ,</w:t>
      </w:r>
      <w:proofErr w:type="gramEnd"/>
      <w:r>
        <w:rPr>
          <w:rFonts w:ascii="Arial" w:eastAsia="Arial" w:hAnsi="Arial" w:cs="Arial"/>
          <w:sz w:val="28"/>
          <w:szCs w:val="28"/>
        </w:rPr>
        <w:t xml:space="preserve"> Saúde e Ação Social e Meio Ambiente são atribuídos às Comissões relacionadas neste Artigo:</w:t>
      </w:r>
    </w:p>
    <w:p w14:paraId="3B1DC854" w14:textId="77777777" w:rsidR="00D64261" w:rsidRDefault="005B3168">
      <w:pPr>
        <w:spacing w:line="276" w:lineRule="auto"/>
        <w:ind w:left="3540"/>
        <w:jc w:val="both"/>
        <w:rPr>
          <w:rFonts w:ascii="Arial" w:eastAsia="Arial" w:hAnsi="Arial" w:cs="Arial"/>
          <w:sz w:val="28"/>
          <w:szCs w:val="28"/>
        </w:rPr>
      </w:pPr>
      <w:r>
        <w:rPr>
          <w:rFonts w:ascii="Arial" w:eastAsia="Arial" w:hAnsi="Arial" w:cs="Arial"/>
          <w:sz w:val="28"/>
          <w:szCs w:val="28"/>
        </w:rPr>
        <w:t xml:space="preserve"> </w:t>
      </w:r>
    </w:p>
    <w:p w14:paraId="009B07E0" w14:textId="77777777" w:rsidR="00D64261" w:rsidRDefault="005B3168">
      <w:pPr>
        <w:spacing w:line="276" w:lineRule="auto"/>
        <w:ind w:left="3540"/>
        <w:jc w:val="both"/>
        <w:rPr>
          <w:rFonts w:ascii="Arial" w:eastAsia="Arial" w:hAnsi="Arial" w:cs="Arial"/>
          <w:sz w:val="28"/>
          <w:szCs w:val="28"/>
        </w:rPr>
      </w:pPr>
      <w:r>
        <w:rPr>
          <w:rFonts w:ascii="Arial" w:eastAsia="Arial" w:hAnsi="Arial" w:cs="Arial"/>
          <w:sz w:val="28"/>
          <w:szCs w:val="28"/>
        </w:rPr>
        <w:t>(...)</w:t>
      </w:r>
    </w:p>
    <w:p w14:paraId="5689C92E" w14:textId="77777777" w:rsidR="00D64261" w:rsidRDefault="005B3168">
      <w:pPr>
        <w:spacing w:line="276" w:lineRule="auto"/>
        <w:ind w:left="3540"/>
        <w:jc w:val="both"/>
        <w:rPr>
          <w:rFonts w:ascii="Arial" w:eastAsia="Arial" w:hAnsi="Arial" w:cs="Arial"/>
          <w:sz w:val="28"/>
          <w:szCs w:val="28"/>
        </w:rPr>
      </w:pPr>
      <w:r>
        <w:rPr>
          <w:rFonts w:ascii="Arial" w:eastAsia="Arial" w:hAnsi="Arial" w:cs="Arial"/>
          <w:sz w:val="28"/>
          <w:szCs w:val="28"/>
        </w:rPr>
        <w:t xml:space="preserve">  </w:t>
      </w:r>
    </w:p>
    <w:p w14:paraId="7EF7DB60" w14:textId="77777777" w:rsidR="00D64261" w:rsidRDefault="005B3168">
      <w:pPr>
        <w:spacing w:line="276" w:lineRule="auto"/>
        <w:ind w:left="3540"/>
        <w:jc w:val="both"/>
        <w:rPr>
          <w:rFonts w:ascii="Arial" w:eastAsia="Arial" w:hAnsi="Arial" w:cs="Arial"/>
          <w:sz w:val="28"/>
          <w:szCs w:val="28"/>
        </w:rPr>
      </w:pPr>
      <w:r>
        <w:rPr>
          <w:rFonts w:ascii="Arial" w:eastAsia="Arial" w:hAnsi="Arial" w:cs="Arial"/>
          <w:sz w:val="28"/>
          <w:szCs w:val="28"/>
        </w:rPr>
        <w:t xml:space="preserve">§ 2º- À Comissão de Saúde, Ação Social e Meio Ambiente compete manifestar-se em todos os projetos e matérias que versem </w:t>
      </w:r>
      <w:proofErr w:type="gramStart"/>
      <w:r>
        <w:rPr>
          <w:rFonts w:ascii="Arial" w:eastAsia="Arial" w:hAnsi="Arial" w:cs="Arial"/>
          <w:sz w:val="28"/>
          <w:szCs w:val="28"/>
        </w:rPr>
        <w:t>sobre  desportos</w:t>
      </w:r>
      <w:proofErr w:type="gramEnd"/>
      <w:r>
        <w:rPr>
          <w:rFonts w:ascii="Arial" w:eastAsia="Arial" w:hAnsi="Arial" w:cs="Arial"/>
          <w:sz w:val="28"/>
          <w:szCs w:val="28"/>
        </w:rPr>
        <w:t xml:space="preserve"> e </w:t>
      </w:r>
      <w:r>
        <w:rPr>
          <w:rFonts w:ascii="Arial" w:eastAsia="Arial" w:hAnsi="Arial" w:cs="Arial"/>
          <w:b/>
          <w:sz w:val="28"/>
          <w:szCs w:val="28"/>
        </w:rPr>
        <w:t>assuntos relacionados com saúde</w:t>
      </w:r>
      <w:r>
        <w:rPr>
          <w:rFonts w:ascii="Arial" w:eastAsia="Arial" w:hAnsi="Arial" w:cs="Arial"/>
          <w:sz w:val="28"/>
          <w:szCs w:val="28"/>
        </w:rPr>
        <w:t xml:space="preserve">, saneamento, cultura, meio ambiente, criança, adolescente, idoso e </w:t>
      </w:r>
      <w:r>
        <w:rPr>
          <w:rFonts w:ascii="Arial" w:eastAsia="Arial" w:hAnsi="Arial" w:cs="Arial"/>
          <w:b/>
          <w:sz w:val="28"/>
          <w:szCs w:val="28"/>
        </w:rPr>
        <w:t>assistência</w:t>
      </w:r>
      <w:r>
        <w:rPr>
          <w:rFonts w:ascii="Arial" w:eastAsia="Arial" w:hAnsi="Arial" w:cs="Arial"/>
          <w:sz w:val="28"/>
          <w:szCs w:val="28"/>
        </w:rPr>
        <w:t xml:space="preserve"> e Previdência social em geral. (Modificado pela Resolução Plenária nº 404, de 14 de março de </w:t>
      </w:r>
      <w:proofErr w:type="gramStart"/>
      <w:r>
        <w:rPr>
          <w:rFonts w:ascii="Arial" w:eastAsia="Arial" w:hAnsi="Arial" w:cs="Arial"/>
          <w:sz w:val="28"/>
          <w:szCs w:val="28"/>
        </w:rPr>
        <w:t>2006 )</w:t>
      </w:r>
      <w:proofErr w:type="gramEnd"/>
    </w:p>
    <w:p w14:paraId="05A7EC3D" w14:textId="77777777" w:rsidR="00D64261" w:rsidRDefault="00D64261">
      <w:pPr>
        <w:spacing w:line="276" w:lineRule="auto"/>
        <w:jc w:val="both"/>
        <w:rPr>
          <w:rFonts w:ascii="Arial" w:eastAsia="Arial" w:hAnsi="Arial" w:cs="Arial"/>
          <w:sz w:val="28"/>
          <w:szCs w:val="28"/>
        </w:rPr>
      </w:pPr>
    </w:p>
    <w:p w14:paraId="161E851A" w14:textId="77777777" w:rsidR="00D64261" w:rsidRDefault="005B3168">
      <w:pPr>
        <w:spacing w:before="240" w:line="276" w:lineRule="auto"/>
        <w:jc w:val="both"/>
        <w:rPr>
          <w:rFonts w:ascii="Arial" w:eastAsia="Arial" w:hAnsi="Arial" w:cs="Arial"/>
          <w:sz w:val="28"/>
          <w:szCs w:val="28"/>
        </w:rPr>
      </w:pPr>
      <w:r>
        <w:rPr>
          <w:rFonts w:ascii="Arial" w:eastAsia="Arial" w:hAnsi="Arial" w:cs="Arial"/>
          <w:sz w:val="28"/>
          <w:szCs w:val="28"/>
        </w:rPr>
        <w:t>c) DIREITOS HUMANOS, por competência específica, pois a matéria em questão é conexa aos direitos humanos e sociais:</w:t>
      </w:r>
    </w:p>
    <w:p w14:paraId="2BE4FEFA" w14:textId="77777777" w:rsidR="00D64261" w:rsidRDefault="00D64261">
      <w:pPr>
        <w:spacing w:before="240" w:line="276" w:lineRule="auto"/>
        <w:jc w:val="both"/>
        <w:rPr>
          <w:rFonts w:ascii="Arial" w:eastAsia="Arial" w:hAnsi="Arial" w:cs="Arial"/>
          <w:sz w:val="28"/>
          <w:szCs w:val="28"/>
        </w:rPr>
      </w:pPr>
    </w:p>
    <w:p w14:paraId="0B169012" w14:textId="77777777" w:rsidR="00D64261" w:rsidRDefault="005B3168">
      <w:pPr>
        <w:spacing w:line="276" w:lineRule="auto"/>
        <w:ind w:left="3600"/>
        <w:jc w:val="both"/>
        <w:rPr>
          <w:rFonts w:ascii="Arial" w:eastAsia="Arial" w:hAnsi="Arial" w:cs="Arial"/>
          <w:sz w:val="28"/>
          <w:szCs w:val="28"/>
        </w:rPr>
      </w:pPr>
      <w:r>
        <w:rPr>
          <w:rFonts w:ascii="Arial" w:eastAsia="Arial" w:hAnsi="Arial" w:cs="Arial"/>
          <w:sz w:val="28"/>
          <w:szCs w:val="28"/>
        </w:rPr>
        <w:t>Art. 50- (...)</w:t>
      </w:r>
    </w:p>
    <w:p w14:paraId="7BA1AE72" w14:textId="77777777" w:rsidR="00D64261" w:rsidRDefault="00D64261">
      <w:pPr>
        <w:spacing w:line="276" w:lineRule="auto"/>
        <w:ind w:left="3600"/>
        <w:jc w:val="both"/>
        <w:rPr>
          <w:rFonts w:ascii="Arial" w:eastAsia="Arial" w:hAnsi="Arial" w:cs="Arial"/>
          <w:sz w:val="28"/>
          <w:szCs w:val="28"/>
        </w:rPr>
      </w:pPr>
    </w:p>
    <w:p w14:paraId="04AE3631" w14:textId="77777777" w:rsidR="00D64261" w:rsidRDefault="005B3168">
      <w:pPr>
        <w:spacing w:line="276" w:lineRule="auto"/>
        <w:ind w:left="3600"/>
        <w:jc w:val="both"/>
        <w:rPr>
          <w:rFonts w:ascii="Arial" w:eastAsia="Arial" w:hAnsi="Arial" w:cs="Arial"/>
          <w:sz w:val="28"/>
          <w:szCs w:val="28"/>
        </w:rPr>
      </w:pPr>
      <w:r>
        <w:rPr>
          <w:rFonts w:ascii="Arial" w:eastAsia="Arial" w:hAnsi="Arial" w:cs="Arial"/>
          <w:sz w:val="28"/>
          <w:szCs w:val="28"/>
        </w:rPr>
        <w:t>(...)</w:t>
      </w:r>
    </w:p>
    <w:p w14:paraId="2A61A322" w14:textId="77777777" w:rsidR="00D64261" w:rsidRDefault="005B3168">
      <w:pPr>
        <w:spacing w:line="276" w:lineRule="auto"/>
        <w:ind w:left="3600"/>
        <w:jc w:val="both"/>
        <w:rPr>
          <w:rFonts w:ascii="Arial" w:eastAsia="Arial" w:hAnsi="Arial" w:cs="Arial"/>
          <w:sz w:val="28"/>
          <w:szCs w:val="28"/>
        </w:rPr>
      </w:pPr>
      <w:r>
        <w:rPr>
          <w:rFonts w:ascii="Arial" w:eastAsia="Arial" w:hAnsi="Arial" w:cs="Arial"/>
          <w:sz w:val="28"/>
          <w:szCs w:val="28"/>
        </w:rPr>
        <w:t>VII – Direitos Humanos e Cidadania.</w:t>
      </w:r>
    </w:p>
    <w:p w14:paraId="7EBC2511" w14:textId="77777777" w:rsidR="00D64261" w:rsidRDefault="005B3168">
      <w:pPr>
        <w:spacing w:line="276" w:lineRule="auto"/>
        <w:ind w:left="3600"/>
        <w:jc w:val="both"/>
        <w:rPr>
          <w:rFonts w:ascii="Arial" w:eastAsia="Arial" w:hAnsi="Arial" w:cs="Arial"/>
          <w:b/>
          <w:sz w:val="28"/>
          <w:szCs w:val="28"/>
        </w:rPr>
      </w:pPr>
      <w:r>
        <w:rPr>
          <w:rFonts w:ascii="Arial" w:eastAsia="Arial" w:hAnsi="Arial" w:cs="Arial"/>
          <w:sz w:val="28"/>
          <w:szCs w:val="28"/>
        </w:rPr>
        <w:t xml:space="preserve">É de competência da Comissão de Direitos Humanos e Cidadania, aspectos atinentes a direitos </w:t>
      </w:r>
      <w:proofErr w:type="gramStart"/>
      <w:r>
        <w:rPr>
          <w:rFonts w:ascii="Arial" w:eastAsia="Arial" w:hAnsi="Arial" w:cs="Arial"/>
          <w:sz w:val="28"/>
          <w:szCs w:val="28"/>
        </w:rPr>
        <w:t>das  minorias</w:t>
      </w:r>
      <w:proofErr w:type="gramEnd"/>
      <w:r>
        <w:rPr>
          <w:rFonts w:ascii="Arial" w:eastAsia="Arial" w:hAnsi="Arial" w:cs="Arial"/>
          <w:sz w:val="28"/>
          <w:szCs w:val="28"/>
        </w:rPr>
        <w:t xml:space="preserve">, crianças e adolescentes, as questões de gênero, do idoso, dos homossexuais, segurança social </w:t>
      </w:r>
      <w:r>
        <w:rPr>
          <w:rFonts w:ascii="Arial" w:eastAsia="Arial" w:hAnsi="Arial" w:cs="Arial"/>
          <w:sz w:val="28"/>
          <w:szCs w:val="28"/>
        </w:rPr>
        <w:lastRenderedPageBreak/>
        <w:t xml:space="preserve">e sistema penitenciário, defesa do consumidor e demais assuntos relacionados à problemática homem trabalho, </w:t>
      </w:r>
      <w:r>
        <w:rPr>
          <w:rFonts w:ascii="Arial" w:eastAsia="Arial" w:hAnsi="Arial" w:cs="Arial"/>
          <w:b/>
          <w:sz w:val="28"/>
          <w:szCs w:val="28"/>
        </w:rPr>
        <w:t>direitos humanos e direitos sociais.</w:t>
      </w:r>
    </w:p>
    <w:p w14:paraId="12E6F597" w14:textId="77777777" w:rsidR="00D64261" w:rsidRDefault="00D64261">
      <w:pPr>
        <w:spacing w:line="276" w:lineRule="auto"/>
        <w:jc w:val="both"/>
        <w:rPr>
          <w:rFonts w:ascii="Arial" w:eastAsia="Arial" w:hAnsi="Arial" w:cs="Arial"/>
          <w:sz w:val="28"/>
          <w:szCs w:val="28"/>
        </w:rPr>
      </w:pPr>
    </w:p>
    <w:p w14:paraId="4168516F" w14:textId="77777777" w:rsidR="00D64261" w:rsidRDefault="00D64261">
      <w:pPr>
        <w:spacing w:line="360" w:lineRule="auto"/>
        <w:jc w:val="both"/>
        <w:rPr>
          <w:rFonts w:ascii="Arial" w:eastAsia="Arial" w:hAnsi="Arial" w:cs="Arial"/>
          <w:sz w:val="28"/>
          <w:szCs w:val="28"/>
        </w:rPr>
      </w:pPr>
    </w:p>
    <w:p w14:paraId="5A08F646" w14:textId="77777777" w:rsidR="00D64261" w:rsidRDefault="005B3168">
      <w:pPr>
        <w:spacing w:line="360" w:lineRule="auto"/>
        <w:jc w:val="both"/>
        <w:rPr>
          <w:rFonts w:ascii="Arial" w:eastAsia="Arial" w:hAnsi="Arial" w:cs="Arial"/>
          <w:b/>
          <w:sz w:val="28"/>
          <w:szCs w:val="28"/>
        </w:rPr>
      </w:pPr>
      <w:r>
        <w:rPr>
          <w:rFonts w:ascii="Arial" w:eastAsia="Arial" w:hAnsi="Arial" w:cs="Arial"/>
          <w:b/>
          <w:sz w:val="28"/>
          <w:szCs w:val="28"/>
        </w:rPr>
        <w:t>CONSIDERAÇÕES FINAIS</w:t>
      </w:r>
    </w:p>
    <w:p w14:paraId="24DCCB4D" w14:textId="77777777" w:rsidR="00D64261" w:rsidRDefault="00D64261">
      <w:pPr>
        <w:rPr>
          <w:rFonts w:ascii="Arial" w:eastAsia="Arial" w:hAnsi="Arial" w:cs="Arial"/>
          <w:sz w:val="28"/>
          <w:szCs w:val="28"/>
        </w:rPr>
      </w:pPr>
    </w:p>
    <w:p w14:paraId="2F46DA01" w14:textId="399FA3AD" w:rsidR="009A7CAB" w:rsidRDefault="005B3168">
      <w:pPr>
        <w:spacing w:line="360" w:lineRule="auto"/>
        <w:ind w:firstLine="720"/>
        <w:jc w:val="both"/>
        <w:rPr>
          <w:rFonts w:ascii="Arial" w:eastAsia="Arial" w:hAnsi="Arial" w:cs="Arial"/>
          <w:sz w:val="28"/>
          <w:szCs w:val="28"/>
        </w:rPr>
      </w:pPr>
      <w:r>
        <w:rPr>
          <w:rFonts w:ascii="Arial" w:eastAsia="Arial" w:hAnsi="Arial" w:cs="Arial"/>
          <w:sz w:val="28"/>
          <w:szCs w:val="28"/>
        </w:rPr>
        <w:t xml:space="preserve">Em conformidade com os fundamentos normativos apresentados acima, </w:t>
      </w:r>
      <w:r w:rsidR="009A7CAB">
        <w:rPr>
          <w:rFonts w:ascii="Arial" w:eastAsia="Arial" w:hAnsi="Arial" w:cs="Arial"/>
          <w:sz w:val="28"/>
          <w:szCs w:val="28"/>
        </w:rPr>
        <w:t xml:space="preserve">com a Emenda Supressiva nº 001/2022 – Proc. 23121/2022, </w:t>
      </w:r>
      <w:r>
        <w:rPr>
          <w:rFonts w:ascii="Arial" w:eastAsia="Arial" w:hAnsi="Arial" w:cs="Arial"/>
          <w:sz w:val="28"/>
          <w:szCs w:val="28"/>
        </w:rPr>
        <w:t xml:space="preserve">encaminhamos o expediente ao prosseguimento opinando </w:t>
      </w:r>
      <w:r>
        <w:rPr>
          <w:rFonts w:ascii="Arial" w:eastAsia="Arial" w:hAnsi="Arial" w:cs="Arial"/>
          <w:b/>
          <w:sz w:val="28"/>
          <w:szCs w:val="28"/>
        </w:rPr>
        <w:t>pela viabilidade de tramitação</w:t>
      </w:r>
      <w:r>
        <w:rPr>
          <w:rFonts w:ascii="Arial" w:eastAsia="Arial" w:hAnsi="Arial" w:cs="Arial"/>
          <w:sz w:val="28"/>
          <w:szCs w:val="28"/>
        </w:rPr>
        <w:t xml:space="preserve">, posto que </w:t>
      </w:r>
      <w:r>
        <w:rPr>
          <w:rFonts w:ascii="Arial" w:eastAsia="Arial" w:hAnsi="Arial" w:cs="Arial"/>
          <w:i/>
          <w:sz w:val="28"/>
          <w:szCs w:val="28"/>
        </w:rPr>
        <w:t>inexiste reserva de iniciativa ao Exmo. Sr. Prefeito para projetos que estabeleçam políticas de proteção social</w:t>
      </w:r>
      <w:r>
        <w:rPr>
          <w:rFonts w:ascii="Arial" w:eastAsia="Arial" w:hAnsi="Arial" w:cs="Arial"/>
          <w:sz w:val="28"/>
          <w:szCs w:val="28"/>
        </w:rPr>
        <w:t xml:space="preserve">. </w:t>
      </w:r>
    </w:p>
    <w:p w14:paraId="6F021656" w14:textId="77777777" w:rsidR="009A7CAB" w:rsidRDefault="009A7CAB">
      <w:pPr>
        <w:spacing w:line="360" w:lineRule="auto"/>
        <w:ind w:firstLine="720"/>
        <w:jc w:val="both"/>
        <w:rPr>
          <w:rFonts w:ascii="Arial" w:eastAsia="Arial" w:hAnsi="Arial" w:cs="Arial"/>
          <w:sz w:val="28"/>
          <w:szCs w:val="28"/>
        </w:rPr>
      </w:pPr>
    </w:p>
    <w:p w14:paraId="68A29DF3" w14:textId="77777777" w:rsidR="009A7CAB" w:rsidRDefault="005B3168">
      <w:pPr>
        <w:spacing w:line="360" w:lineRule="auto"/>
        <w:ind w:firstLine="720"/>
        <w:jc w:val="both"/>
        <w:rPr>
          <w:rFonts w:ascii="Arial" w:eastAsia="Arial" w:hAnsi="Arial" w:cs="Arial"/>
          <w:sz w:val="28"/>
          <w:szCs w:val="28"/>
        </w:rPr>
      </w:pPr>
      <w:r>
        <w:rPr>
          <w:rFonts w:ascii="Arial" w:eastAsia="Arial" w:hAnsi="Arial" w:cs="Arial"/>
          <w:sz w:val="28"/>
          <w:szCs w:val="28"/>
        </w:rPr>
        <w:t xml:space="preserve">Destacamos, como de praxe, que o presente parecer tem natureza opinativa e não vincula a decisão das comissões. </w:t>
      </w:r>
    </w:p>
    <w:p w14:paraId="2A792674" w14:textId="77777777" w:rsidR="009A7CAB" w:rsidRDefault="009A7CAB">
      <w:pPr>
        <w:spacing w:line="360" w:lineRule="auto"/>
        <w:ind w:firstLine="720"/>
        <w:jc w:val="both"/>
        <w:rPr>
          <w:rFonts w:ascii="Arial" w:eastAsia="Arial" w:hAnsi="Arial" w:cs="Arial"/>
          <w:sz w:val="28"/>
          <w:szCs w:val="28"/>
        </w:rPr>
      </w:pPr>
    </w:p>
    <w:p w14:paraId="457003B7" w14:textId="11B8C66D" w:rsidR="00D64261" w:rsidRDefault="009A7CAB">
      <w:pPr>
        <w:spacing w:line="360" w:lineRule="auto"/>
        <w:ind w:firstLine="720"/>
        <w:jc w:val="both"/>
        <w:rPr>
          <w:rFonts w:ascii="Arial" w:eastAsia="Arial" w:hAnsi="Arial" w:cs="Arial"/>
          <w:sz w:val="28"/>
          <w:szCs w:val="28"/>
        </w:rPr>
      </w:pPr>
      <w:r>
        <w:rPr>
          <w:rFonts w:ascii="Arial" w:eastAsia="Arial" w:hAnsi="Arial" w:cs="Arial"/>
          <w:sz w:val="28"/>
          <w:szCs w:val="28"/>
        </w:rPr>
        <w:t>E</w:t>
      </w:r>
      <w:r w:rsidR="005B3168">
        <w:rPr>
          <w:rFonts w:ascii="Arial" w:eastAsia="Arial" w:hAnsi="Arial" w:cs="Arial"/>
          <w:sz w:val="28"/>
          <w:szCs w:val="28"/>
        </w:rPr>
        <w:t>ncaminhem-se os autos à DIRETORIA LEGISLATIVA para as devidas diligências.</w:t>
      </w:r>
    </w:p>
    <w:p w14:paraId="754B6CE7" w14:textId="77777777" w:rsidR="00D64261" w:rsidRDefault="00D64261">
      <w:pPr>
        <w:spacing w:line="360" w:lineRule="auto"/>
        <w:ind w:firstLine="720"/>
        <w:jc w:val="both"/>
        <w:rPr>
          <w:rFonts w:ascii="Arial" w:eastAsia="Arial" w:hAnsi="Arial" w:cs="Arial"/>
          <w:sz w:val="28"/>
          <w:szCs w:val="28"/>
        </w:rPr>
      </w:pPr>
    </w:p>
    <w:p w14:paraId="699DC98F" w14:textId="77777777" w:rsidR="00D64261" w:rsidRDefault="005B3168" w:rsidP="009A7CAB">
      <w:pPr>
        <w:spacing w:line="360" w:lineRule="auto"/>
        <w:ind w:firstLine="708"/>
        <w:jc w:val="center"/>
        <w:rPr>
          <w:rFonts w:ascii="Arial" w:eastAsia="Arial" w:hAnsi="Arial" w:cs="Arial"/>
          <w:sz w:val="28"/>
          <w:szCs w:val="28"/>
        </w:rPr>
      </w:pPr>
      <w:r>
        <w:rPr>
          <w:rFonts w:ascii="Arial" w:eastAsia="Arial" w:hAnsi="Arial" w:cs="Arial"/>
          <w:sz w:val="28"/>
          <w:szCs w:val="28"/>
        </w:rPr>
        <w:t>Parecer exarado em 21 de março de 2022</w:t>
      </w:r>
    </w:p>
    <w:p w14:paraId="654A65AA" w14:textId="77777777" w:rsidR="00D64261" w:rsidRDefault="00D64261" w:rsidP="009A7CAB">
      <w:pPr>
        <w:jc w:val="center"/>
        <w:rPr>
          <w:rFonts w:ascii="Arial" w:eastAsia="Arial" w:hAnsi="Arial" w:cs="Arial"/>
          <w:sz w:val="28"/>
          <w:szCs w:val="28"/>
        </w:rPr>
      </w:pPr>
    </w:p>
    <w:p w14:paraId="3DBC7411" w14:textId="77777777" w:rsidR="00D64261" w:rsidRDefault="00D64261" w:rsidP="009A7CAB">
      <w:pPr>
        <w:jc w:val="center"/>
        <w:rPr>
          <w:rFonts w:ascii="Arial" w:eastAsia="Arial" w:hAnsi="Arial" w:cs="Arial"/>
          <w:sz w:val="28"/>
          <w:szCs w:val="28"/>
        </w:rPr>
      </w:pPr>
    </w:p>
    <w:p w14:paraId="01BD72B7" w14:textId="77777777" w:rsidR="00D64261" w:rsidRDefault="005B3168" w:rsidP="009A7CAB">
      <w:pPr>
        <w:jc w:val="center"/>
        <w:rPr>
          <w:rFonts w:ascii="Arial" w:eastAsia="Arial" w:hAnsi="Arial" w:cs="Arial"/>
          <w:b/>
          <w:sz w:val="28"/>
          <w:szCs w:val="28"/>
        </w:rPr>
      </w:pPr>
      <w:r>
        <w:rPr>
          <w:rFonts w:ascii="Arial" w:eastAsia="Arial" w:hAnsi="Arial" w:cs="Arial"/>
          <w:b/>
          <w:sz w:val="28"/>
          <w:szCs w:val="28"/>
        </w:rPr>
        <w:t>João Roberto da Fonseca Junior</w:t>
      </w:r>
    </w:p>
    <w:p w14:paraId="5BE69558" w14:textId="77777777" w:rsidR="00D64261" w:rsidRDefault="005B3168" w:rsidP="009A7CAB">
      <w:pPr>
        <w:jc w:val="center"/>
        <w:rPr>
          <w:rFonts w:ascii="Arial" w:eastAsia="Arial" w:hAnsi="Arial" w:cs="Arial"/>
          <w:sz w:val="28"/>
          <w:szCs w:val="28"/>
        </w:rPr>
      </w:pPr>
      <w:r>
        <w:rPr>
          <w:rFonts w:ascii="Arial" w:eastAsia="Arial" w:hAnsi="Arial" w:cs="Arial"/>
          <w:sz w:val="28"/>
          <w:szCs w:val="28"/>
        </w:rPr>
        <w:t>Procurador Chefe</w:t>
      </w:r>
    </w:p>
    <w:p w14:paraId="37FC3A05" w14:textId="77777777" w:rsidR="00D64261" w:rsidRDefault="005B3168" w:rsidP="009A7CAB">
      <w:pPr>
        <w:jc w:val="center"/>
        <w:rPr>
          <w:rFonts w:ascii="Arial" w:eastAsia="Arial" w:hAnsi="Arial" w:cs="Arial"/>
          <w:b/>
          <w:sz w:val="28"/>
          <w:szCs w:val="28"/>
        </w:rPr>
      </w:pPr>
      <w:r>
        <w:rPr>
          <w:rFonts w:ascii="Arial" w:eastAsia="Arial" w:hAnsi="Arial" w:cs="Arial"/>
          <w:sz w:val="28"/>
          <w:szCs w:val="28"/>
        </w:rPr>
        <w:t>OAB/RS 69.257</w:t>
      </w:r>
    </w:p>
    <w:sectPr w:rsidR="00D64261">
      <w:headerReference w:type="default" r:id="rId7"/>
      <w:pgSz w:w="11906" w:h="16838"/>
      <w:pgMar w:top="1985" w:right="1133" w:bottom="1135"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CFF399" w14:textId="77777777" w:rsidR="005D3547" w:rsidRDefault="005D3547">
      <w:r>
        <w:separator/>
      </w:r>
    </w:p>
  </w:endnote>
  <w:endnote w:type="continuationSeparator" w:id="0">
    <w:p w14:paraId="446D4CC3" w14:textId="77777777" w:rsidR="005D3547" w:rsidRDefault="005D35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B52ECB" w14:textId="77777777" w:rsidR="005D3547" w:rsidRDefault="005D3547">
      <w:r>
        <w:separator/>
      </w:r>
    </w:p>
  </w:footnote>
  <w:footnote w:type="continuationSeparator" w:id="0">
    <w:p w14:paraId="6E8A7B1B" w14:textId="77777777" w:rsidR="005D3547" w:rsidRDefault="005D35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1DC44" w14:textId="77777777" w:rsidR="00D64261" w:rsidRDefault="005B3168">
    <w:pPr>
      <w:pStyle w:val="Ttulo1"/>
      <w:ind w:left="708"/>
      <w:jc w:val="center"/>
    </w:pPr>
    <w:r>
      <w:rPr>
        <w:rFonts w:ascii="Arial" w:eastAsia="Arial" w:hAnsi="Arial" w:cs="Arial"/>
        <w:b/>
        <w:noProof/>
        <w:color w:val="333333"/>
        <w:sz w:val="28"/>
        <w:szCs w:val="28"/>
      </w:rPr>
      <w:drawing>
        <wp:anchor distT="0" distB="0" distL="114300" distR="114300" simplePos="0" relativeHeight="251658240" behindDoc="0" locked="0" layoutInCell="1" hidden="0" allowOverlap="1" wp14:anchorId="121115E0" wp14:editId="3480E10E">
          <wp:simplePos x="0" y="0"/>
          <wp:positionH relativeFrom="margin">
            <wp:posOffset>-628649</wp:posOffset>
          </wp:positionH>
          <wp:positionV relativeFrom="margin">
            <wp:posOffset>-1049654</wp:posOffset>
          </wp:positionV>
          <wp:extent cx="748030" cy="82296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8030" cy="822960"/>
                  </a:xfrm>
                  <a:prstGeom prst="rect">
                    <a:avLst/>
                  </a:prstGeom>
                  <a:ln/>
                </pic:spPr>
              </pic:pic>
            </a:graphicData>
          </a:graphic>
        </wp:anchor>
      </w:drawing>
    </w:r>
    <w:r>
      <w:rPr>
        <w:rFonts w:ascii="Arial" w:eastAsia="Arial" w:hAnsi="Arial" w:cs="Arial"/>
        <w:b/>
        <w:color w:val="333333"/>
        <w:sz w:val="28"/>
        <w:szCs w:val="28"/>
      </w:rPr>
      <w:t>CÂMARA DE VEREADORES DE SAPUCAIA DO SUL</w:t>
    </w:r>
  </w:p>
  <w:p w14:paraId="29EC00CF" w14:textId="77777777" w:rsidR="00D64261" w:rsidRDefault="005B3168">
    <w:pPr>
      <w:ind w:left="708"/>
      <w:jc w:val="center"/>
      <w:rPr>
        <w:rFonts w:ascii="Arial" w:eastAsia="Arial" w:hAnsi="Arial" w:cs="Arial"/>
        <w:color w:val="333333"/>
        <w:sz w:val="20"/>
        <w:szCs w:val="20"/>
      </w:rPr>
    </w:pPr>
    <w:r>
      <w:rPr>
        <w:rFonts w:ascii="Arial" w:eastAsia="Arial" w:hAnsi="Arial" w:cs="Arial"/>
        <w:color w:val="333333"/>
        <w:sz w:val="20"/>
        <w:szCs w:val="20"/>
      </w:rPr>
      <w:t>Av. Assis Brasil, nº51, Centro, CEP 93.220-050 - Sapucaia do Sul - Rio Grande do Sul</w:t>
    </w:r>
  </w:p>
  <w:p w14:paraId="5DE7D273" w14:textId="77777777" w:rsidR="00D64261" w:rsidRDefault="005B3168">
    <w:pPr>
      <w:ind w:left="708"/>
      <w:jc w:val="center"/>
      <w:rPr>
        <w:rFonts w:ascii="Arial" w:eastAsia="Arial" w:hAnsi="Arial" w:cs="Arial"/>
        <w:color w:val="333333"/>
        <w:sz w:val="20"/>
        <w:szCs w:val="20"/>
      </w:rPr>
    </w:pPr>
    <w:r>
      <w:rPr>
        <w:rFonts w:ascii="Arial" w:eastAsia="Arial" w:hAnsi="Arial" w:cs="Arial"/>
        <w:color w:val="333333"/>
        <w:sz w:val="20"/>
        <w:szCs w:val="20"/>
      </w:rPr>
      <w:t>Fones (51) 3474-1887 / 3474-1226 - Fax: 3474-1081</w:t>
    </w:r>
  </w:p>
  <w:p w14:paraId="21816A09" w14:textId="77777777" w:rsidR="00D64261" w:rsidRDefault="00D64261">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6B3C8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4261"/>
    <w:rsid w:val="003E7425"/>
    <w:rsid w:val="005B3168"/>
    <w:rsid w:val="005D3547"/>
    <w:rsid w:val="009A7CAB"/>
    <w:rsid w:val="00D6426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67E09"/>
  <w15:docId w15:val="{A624B484-7529-C944-91FB-2F4D27169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outlineLvl w:val="0"/>
    </w:pPr>
    <w:rPr>
      <w:sz w:val="36"/>
      <w:szCs w:val="36"/>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1217</Words>
  <Characters>6573</Characters>
  <Application>Microsoft Office Word</Application>
  <DocSecurity>0</DocSecurity>
  <Lines>54</Lines>
  <Paragraphs>15</Paragraphs>
  <ScaleCrop>false</ScaleCrop>
  <Company/>
  <LinksUpToDate>false</LinksUpToDate>
  <CharactersWithSpaces>7775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Joao Roberto da Fonseca Junior</dc:creator>
  <cp:lastModifiedBy>Joao Roberto da Fonseca Junior</cp:lastModifiedBy>
  <cp:revision>2</cp:revision>
  <dcterms:created xsi:type="dcterms:W3CDTF">2022-03-25T13:45:00Z</dcterms:created>
  <dcterms:modified xsi:type="dcterms:W3CDTF">2022-03-25T13:45:00Z</dcterms:modified>
</cp:coreProperties>
</file>