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1B2ED9" w14:textId="77777777" w:rsidR="00630A15" w:rsidRDefault="00723F32">
      <w:pPr>
        <w:rPr>
          <w:rFonts w:ascii="Arial" w:eastAsia="Arial" w:hAnsi="Arial" w:cs="Arial"/>
          <w:b/>
          <w:sz w:val="28"/>
          <w:szCs w:val="28"/>
        </w:rPr>
      </w:pPr>
      <w:r>
        <w:rPr>
          <w:rFonts w:ascii="Arial" w:eastAsia="Arial" w:hAnsi="Arial" w:cs="Arial"/>
          <w:b/>
          <w:sz w:val="28"/>
          <w:szCs w:val="28"/>
        </w:rPr>
        <w:t>Mensagem nº 21</w:t>
      </w:r>
    </w:p>
    <w:p w14:paraId="50E13258" w14:textId="77777777" w:rsidR="00630A15" w:rsidRDefault="00723F32">
      <w:pPr>
        <w:rPr>
          <w:rFonts w:ascii="Arial" w:eastAsia="Arial" w:hAnsi="Arial" w:cs="Arial"/>
          <w:b/>
          <w:sz w:val="28"/>
          <w:szCs w:val="28"/>
        </w:rPr>
      </w:pPr>
      <w:r>
        <w:rPr>
          <w:rFonts w:ascii="Arial" w:eastAsia="Arial" w:hAnsi="Arial" w:cs="Arial"/>
          <w:b/>
          <w:sz w:val="28"/>
          <w:szCs w:val="28"/>
        </w:rPr>
        <w:t>Processo nº 23132</w:t>
      </w:r>
    </w:p>
    <w:p w14:paraId="6A552904" w14:textId="77777777" w:rsidR="00630A15" w:rsidRDefault="00723F32">
      <w:pPr>
        <w:rPr>
          <w:rFonts w:ascii="Arial" w:eastAsia="Arial" w:hAnsi="Arial" w:cs="Arial"/>
          <w:sz w:val="28"/>
          <w:szCs w:val="28"/>
        </w:rPr>
      </w:pPr>
      <w:r>
        <w:rPr>
          <w:rFonts w:ascii="Arial" w:eastAsia="Arial" w:hAnsi="Arial" w:cs="Arial"/>
          <w:b/>
          <w:sz w:val="28"/>
          <w:szCs w:val="28"/>
        </w:rPr>
        <w:t>Proponente:</w:t>
      </w:r>
      <w:r>
        <w:rPr>
          <w:rFonts w:ascii="Arial" w:eastAsia="Arial" w:hAnsi="Arial" w:cs="Arial"/>
          <w:sz w:val="28"/>
          <w:szCs w:val="28"/>
        </w:rPr>
        <w:t xml:space="preserve"> Poder Executivo Municipal</w:t>
      </w:r>
    </w:p>
    <w:p w14:paraId="6013707E" w14:textId="77777777" w:rsidR="00630A15" w:rsidRDefault="00723F32">
      <w:pPr>
        <w:rPr>
          <w:rFonts w:ascii="Arial" w:eastAsia="Arial" w:hAnsi="Arial" w:cs="Arial"/>
          <w:sz w:val="28"/>
          <w:szCs w:val="28"/>
        </w:rPr>
      </w:pPr>
      <w:r>
        <w:rPr>
          <w:rFonts w:ascii="Arial" w:eastAsia="Arial" w:hAnsi="Arial" w:cs="Arial"/>
          <w:b/>
          <w:sz w:val="28"/>
          <w:szCs w:val="28"/>
        </w:rPr>
        <w:t xml:space="preserve">Regime de Tramitação </w:t>
      </w:r>
      <w:r>
        <w:rPr>
          <w:rFonts w:ascii="Arial" w:eastAsia="Arial" w:hAnsi="Arial" w:cs="Arial"/>
          <w:sz w:val="28"/>
          <w:szCs w:val="28"/>
        </w:rPr>
        <w:t>Urgência Especial</w:t>
      </w:r>
    </w:p>
    <w:p w14:paraId="64CF7D25" w14:textId="77777777" w:rsidR="00630A15" w:rsidRDefault="00723F32">
      <w:pPr>
        <w:rPr>
          <w:rFonts w:ascii="Arial" w:eastAsia="Arial" w:hAnsi="Arial" w:cs="Arial"/>
          <w:sz w:val="28"/>
          <w:szCs w:val="28"/>
        </w:rPr>
      </w:pPr>
      <w:r>
        <w:rPr>
          <w:rFonts w:ascii="Arial" w:eastAsia="Arial" w:hAnsi="Arial" w:cs="Arial"/>
          <w:b/>
          <w:sz w:val="28"/>
          <w:szCs w:val="28"/>
        </w:rPr>
        <w:t xml:space="preserve">Data de conclusão à Procuradoria: </w:t>
      </w:r>
      <w:r>
        <w:rPr>
          <w:rFonts w:ascii="Arial" w:eastAsia="Arial" w:hAnsi="Arial" w:cs="Arial"/>
          <w:sz w:val="28"/>
          <w:szCs w:val="28"/>
        </w:rPr>
        <w:t>29/03/2022</w:t>
      </w:r>
    </w:p>
    <w:p w14:paraId="0700D973" w14:textId="77777777" w:rsidR="00630A15" w:rsidRDefault="00630A15">
      <w:pPr>
        <w:rPr>
          <w:rFonts w:ascii="Arial" w:eastAsia="Arial" w:hAnsi="Arial" w:cs="Arial"/>
          <w:b/>
          <w:sz w:val="28"/>
          <w:szCs w:val="28"/>
        </w:rPr>
      </w:pPr>
    </w:p>
    <w:p w14:paraId="46A2BE8F" w14:textId="77777777" w:rsidR="00630A15" w:rsidRDefault="00630A15">
      <w:pPr>
        <w:rPr>
          <w:rFonts w:ascii="Arial" w:eastAsia="Arial" w:hAnsi="Arial" w:cs="Arial"/>
          <w:sz w:val="28"/>
          <w:szCs w:val="28"/>
        </w:rPr>
      </w:pPr>
    </w:p>
    <w:p w14:paraId="6C754D1D" w14:textId="77777777" w:rsidR="00630A15" w:rsidRDefault="00723F32">
      <w:pPr>
        <w:rPr>
          <w:rFonts w:ascii="Arial" w:eastAsia="Arial" w:hAnsi="Arial" w:cs="Arial"/>
          <w:sz w:val="28"/>
          <w:szCs w:val="28"/>
        </w:rPr>
      </w:pPr>
      <w:r>
        <w:rPr>
          <w:rFonts w:ascii="Arial" w:eastAsia="Arial" w:hAnsi="Arial" w:cs="Arial"/>
          <w:b/>
          <w:sz w:val="28"/>
          <w:szCs w:val="28"/>
        </w:rPr>
        <w:t>RELATÓRIO</w:t>
      </w:r>
    </w:p>
    <w:p w14:paraId="6B1C3137" w14:textId="77777777" w:rsidR="00630A15" w:rsidRDefault="00630A15">
      <w:pPr>
        <w:jc w:val="both"/>
        <w:rPr>
          <w:rFonts w:ascii="Arial" w:eastAsia="Arial" w:hAnsi="Arial" w:cs="Arial"/>
          <w:sz w:val="28"/>
          <w:szCs w:val="28"/>
        </w:rPr>
      </w:pPr>
    </w:p>
    <w:p w14:paraId="33990989" w14:textId="77777777" w:rsidR="00630A15" w:rsidRDefault="00723F32">
      <w:pPr>
        <w:jc w:val="both"/>
        <w:rPr>
          <w:rFonts w:ascii="Arial" w:eastAsia="Arial" w:hAnsi="Arial" w:cs="Arial"/>
          <w:sz w:val="28"/>
          <w:szCs w:val="28"/>
        </w:rPr>
      </w:pPr>
      <w:r>
        <w:rPr>
          <w:rFonts w:ascii="Arial" w:eastAsia="Arial" w:hAnsi="Arial" w:cs="Arial"/>
          <w:sz w:val="28"/>
          <w:szCs w:val="28"/>
        </w:rPr>
        <w:tab/>
        <w:t xml:space="preserve">Trata-se de mensagem de origem do Poder Executivo Municipal cujo mérito solicita aprovação de Projeto de Lei que </w:t>
      </w:r>
      <w:r>
        <w:rPr>
          <w:rFonts w:ascii="Arial" w:eastAsia="Arial" w:hAnsi="Arial" w:cs="Arial"/>
          <w:i/>
          <w:sz w:val="28"/>
          <w:szCs w:val="28"/>
        </w:rPr>
        <w:t>“Institui o Programa de Recuperação Fiscal no Município de Sapucaia do Sul - REFIS MUNICIPAL 2022, com o objetivo de facilitar a recuperação de créditos municipais tributários e não tributários e dá outras providências”</w:t>
      </w:r>
      <w:r>
        <w:rPr>
          <w:rFonts w:ascii="Arial" w:eastAsia="Arial" w:hAnsi="Arial" w:cs="Arial"/>
          <w:sz w:val="28"/>
          <w:szCs w:val="28"/>
        </w:rPr>
        <w:t>. O processo tramita exclusivamente em formato digital, constam dos autos eletrônicos os seguintes documentos em anexo.</w:t>
      </w:r>
    </w:p>
    <w:p w14:paraId="110F9EAB" w14:textId="77777777" w:rsidR="00630A15" w:rsidRDefault="00630A15">
      <w:pPr>
        <w:jc w:val="both"/>
        <w:rPr>
          <w:rFonts w:ascii="Arial" w:eastAsia="Arial" w:hAnsi="Arial" w:cs="Arial"/>
          <w:sz w:val="28"/>
          <w:szCs w:val="28"/>
        </w:rPr>
      </w:pPr>
    </w:p>
    <w:p w14:paraId="1F46CE0E" w14:textId="77777777" w:rsidR="00630A15" w:rsidRDefault="00723F32">
      <w:pPr>
        <w:numPr>
          <w:ilvl w:val="0"/>
          <w:numId w:val="1"/>
        </w:numPr>
        <w:jc w:val="both"/>
        <w:rPr>
          <w:rFonts w:ascii="Arial" w:eastAsia="Arial" w:hAnsi="Arial" w:cs="Arial"/>
          <w:sz w:val="28"/>
          <w:szCs w:val="28"/>
        </w:rPr>
      </w:pPr>
      <w:r>
        <w:rPr>
          <w:rFonts w:ascii="Arial" w:eastAsia="Arial" w:hAnsi="Arial" w:cs="Arial"/>
          <w:sz w:val="28"/>
          <w:szCs w:val="28"/>
        </w:rPr>
        <w:t>ID 37001 (</w:t>
      </w:r>
      <w:proofErr w:type="spellStart"/>
      <w:r>
        <w:rPr>
          <w:rFonts w:ascii="Arial" w:eastAsia="Arial" w:hAnsi="Arial" w:cs="Arial"/>
          <w:sz w:val="28"/>
          <w:szCs w:val="28"/>
        </w:rPr>
        <w:t>pdf</w:t>
      </w:r>
      <w:proofErr w:type="spellEnd"/>
      <w:r>
        <w:rPr>
          <w:rFonts w:ascii="Arial" w:eastAsia="Arial" w:hAnsi="Arial" w:cs="Arial"/>
          <w:sz w:val="28"/>
          <w:szCs w:val="28"/>
        </w:rPr>
        <w:t>, 7 páginas);</w:t>
      </w:r>
    </w:p>
    <w:p w14:paraId="7A5BB0F2" w14:textId="77777777" w:rsidR="00630A15" w:rsidRDefault="00723F32">
      <w:pPr>
        <w:numPr>
          <w:ilvl w:val="0"/>
          <w:numId w:val="1"/>
        </w:numPr>
        <w:jc w:val="both"/>
        <w:rPr>
          <w:rFonts w:ascii="Arial" w:eastAsia="Arial" w:hAnsi="Arial" w:cs="Arial"/>
          <w:sz w:val="28"/>
          <w:szCs w:val="28"/>
        </w:rPr>
      </w:pPr>
      <w:r>
        <w:rPr>
          <w:rFonts w:ascii="Arial" w:eastAsia="Arial" w:hAnsi="Arial" w:cs="Arial"/>
          <w:sz w:val="28"/>
          <w:szCs w:val="28"/>
        </w:rPr>
        <w:t>ID 37042 (página única).</w:t>
      </w:r>
    </w:p>
    <w:p w14:paraId="2AA02728" w14:textId="77777777" w:rsidR="00630A15" w:rsidRDefault="00630A15">
      <w:pPr>
        <w:ind w:left="720"/>
        <w:jc w:val="both"/>
        <w:rPr>
          <w:rFonts w:ascii="Arial" w:eastAsia="Arial" w:hAnsi="Arial" w:cs="Arial"/>
          <w:sz w:val="28"/>
          <w:szCs w:val="28"/>
        </w:rPr>
      </w:pPr>
    </w:p>
    <w:p w14:paraId="5D0AEB18" w14:textId="77777777" w:rsidR="00630A15" w:rsidRDefault="00630A15">
      <w:pPr>
        <w:spacing w:line="360" w:lineRule="auto"/>
        <w:ind w:firstLine="708"/>
        <w:jc w:val="both"/>
        <w:rPr>
          <w:rFonts w:ascii="Arial" w:eastAsia="Arial" w:hAnsi="Arial" w:cs="Arial"/>
          <w:sz w:val="28"/>
          <w:szCs w:val="28"/>
        </w:rPr>
      </w:pPr>
    </w:p>
    <w:p w14:paraId="06E9CF17" w14:textId="77777777" w:rsidR="00630A15" w:rsidRDefault="00723F32">
      <w:pPr>
        <w:rPr>
          <w:rFonts w:ascii="Arial" w:eastAsia="Arial" w:hAnsi="Arial" w:cs="Arial"/>
          <w:sz w:val="28"/>
          <w:szCs w:val="28"/>
        </w:rPr>
      </w:pPr>
      <w:r>
        <w:rPr>
          <w:rFonts w:ascii="Arial" w:eastAsia="Arial" w:hAnsi="Arial" w:cs="Arial"/>
          <w:b/>
          <w:sz w:val="28"/>
          <w:szCs w:val="28"/>
        </w:rPr>
        <w:t>PARECER</w:t>
      </w:r>
    </w:p>
    <w:p w14:paraId="52BA50E3" w14:textId="77777777" w:rsidR="00630A15" w:rsidRDefault="00630A15">
      <w:pPr>
        <w:rPr>
          <w:rFonts w:ascii="Arial" w:eastAsia="Arial" w:hAnsi="Arial" w:cs="Arial"/>
          <w:sz w:val="28"/>
          <w:szCs w:val="28"/>
        </w:rPr>
      </w:pPr>
    </w:p>
    <w:p w14:paraId="50BE02C2" w14:textId="77777777" w:rsidR="00630A15" w:rsidRDefault="00723F32">
      <w:pPr>
        <w:spacing w:line="360" w:lineRule="auto"/>
        <w:ind w:firstLine="700"/>
        <w:jc w:val="both"/>
        <w:rPr>
          <w:rFonts w:ascii="Arial" w:eastAsia="Arial" w:hAnsi="Arial" w:cs="Arial"/>
          <w:sz w:val="28"/>
          <w:szCs w:val="28"/>
        </w:rPr>
      </w:pPr>
      <w:r>
        <w:rPr>
          <w:rFonts w:ascii="Arial" w:eastAsia="Arial" w:hAnsi="Arial" w:cs="Arial"/>
          <w:sz w:val="28"/>
          <w:szCs w:val="28"/>
        </w:rPr>
        <w:t>A proposição deve ser analisada pela ótica da Lei 5.172/66, (CTN), que regula a forma de constituição, exclusão e suspensão dos créditos tributários (</w:t>
      </w:r>
      <w:proofErr w:type="spellStart"/>
      <w:r>
        <w:rPr>
          <w:rFonts w:ascii="Arial" w:eastAsia="Arial" w:hAnsi="Arial" w:cs="Arial"/>
          <w:sz w:val="28"/>
          <w:szCs w:val="28"/>
        </w:rPr>
        <w:t>arts</w:t>
      </w:r>
      <w:proofErr w:type="spellEnd"/>
      <w:r>
        <w:rPr>
          <w:rFonts w:ascii="Arial" w:eastAsia="Arial" w:hAnsi="Arial" w:cs="Arial"/>
          <w:sz w:val="28"/>
          <w:szCs w:val="28"/>
        </w:rPr>
        <w:t>. 142 e seguintes). A figura do “parcelamento” (art.151, VI, CTN) se enquadra nas hipóteses de suspensão do crédito tributário, que diz respeito, portanto, aos refinanciamentos fiscais.</w:t>
      </w:r>
    </w:p>
    <w:p w14:paraId="247CB4B4" w14:textId="77777777" w:rsidR="00630A15" w:rsidRDefault="00630A15">
      <w:pPr>
        <w:spacing w:line="360" w:lineRule="auto"/>
        <w:ind w:firstLine="700"/>
        <w:jc w:val="both"/>
        <w:rPr>
          <w:rFonts w:ascii="Arial" w:eastAsia="Arial" w:hAnsi="Arial" w:cs="Arial"/>
          <w:sz w:val="28"/>
          <w:szCs w:val="28"/>
        </w:rPr>
      </w:pPr>
    </w:p>
    <w:p w14:paraId="5F2D2A44" w14:textId="77777777" w:rsidR="00630A15" w:rsidRDefault="00723F32">
      <w:pPr>
        <w:spacing w:line="360" w:lineRule="auto"/>
        <w:ind w:firstLine="700"/>
        <w:jc w:val="both"/>
        <w:rPr>
          <w:rFonts w:ascii="Arial" w:eastAsia="Arial" w:hAnsi="Arial" w:cs="Arial"/>
          <w:sz w:val="28"/>
          <w:szCs w:val="28"/>
        </w:rPr>
      </w:pPr>
      <w:r>
        <w:rPr>
          <w:rFonts w:ascii="Arial" w:eastAsia="Arial" w:hAnsi="Arial" w:cs="Arial"/>
          <w:sz w:val="28"/>
          <w:szCs w:val="28"/>
        </w:rPr>
        <w:t xml:space="preserve">Além do fracionamento da dívida, o modelo proposto pelo Exmo. Chefe do Poder Executivo a partir do art. 3º da proposição possibilita também a redução de parte do débito, </w:t>
      </w:r>
      <w:r>
        <w:rPr>
          <w:rFonts w:ascii="Arial" w:eastAsia="Arial" w:hAnsi="Arial" w:cs="Arial"/>
          <w:i/>
          <w:sz w:val="28"/>
          <w:szCs w:val="28"/>
        </w:rPr>
        <w:t>importando em renúncia de receita</w:t>
      </w:r>
      <w:r>
        <w:rPr>
          <w:rFonts w:ascii="Arial" w:eastAsia="Arial" w:hAnsi="Arial" w:cs="Arial"/>
          <w:sz w:val="28"/>
          <w:szCs w:val="28"/>
        </w:rPr>
        <w:t xml:space="preserve"> (redução gradativa da multa, correção monetária e juros de mora).</w:t>
      </w:r>
    </w:p>
    <w:p w14:paraId="62BB5A7A" w14:textId="77777777" w:rsidR="00630A15" w:rsidRDefault="00723F32">
      <w:pPr>
        <w:spacing w:line="360" w:lineRule="auto"/>
        <w:ind w:firstLine="700"/>
        <w:jc w:val="both"/>
        <w:rPr>
          <w:rFonts w:ascii="Arial" w:eastAsia="Arial" w:hAnsi="Arial" w:cs="Arial"/>
          <w:sz w:val="28"/>
          <w:szCs w:val="28"/>
        </w:rPr>
      </w:pPr>
      <w:r>
        <w:rPr>
          <w:rFonts w:ascii="Arial" w:eastAsia="Arial" w:hAnsi="Arial" w:cs="Arial"/>
          <w:sz w:val="28"/>
          <w:szCs w:val="28"/>
        </w:rPr>
        <w:t xml:space="preserve"> </w:t>
      </w:r>
    </w:p>
    <w:p w14:paraId="488AEA1D" w14:textId="77777777" w:rsidR="00630A15" w:rsidRDefault="00723F32">
      <w:pPr>
        <w:spacing w:line="360" w:lineRule="auto"/>
        <w:ind w:firstLine="700"/>
        <w:jc w:val="both"/>
        <w:rPr>
          <w:rFonts w:ascii="Arial" w:eastAsia="Arial" w:hAnsi="Arial" w:cs="Arial"/>
          <w:sz w:val="28"/>
          <w:szCs w:val="28"/>
        </w:rPr>
      </w:pPr>
      <w:r>
        <w:rPr>
          <w:rFonts w:ascii="Arial" w:eastAsia="Arial" w:hAnsi="Arial" w:cs="Arial"/>
          <w:sz w:val="28"/>
          <w:szCs w:val="28"/>
        </w:rPr>
        <w:t>A respeito da natureza tributária deste tipo de débito, transcrevemos:</w:t>
      </w:r>
    </w:p>
    <w:p w14:paraId="144434AD" w14:textId="77777777" w:rsidR="00630A15" w:rsidRDefault="00723F32">
      <w:pPr>
        <w:ind w:firstLine="700"/>
        <w:jc w:val="both"/>
        <w:rPr>
          <w:rFonts w:ascii="Arial" w:eastAsia="Arial" w:hAnsi="Arial" w:cs="Arial"/>
          <w:sz w:val="28"/>
          <w:szCs w:val="28"/>
        </w:rPr>
      </w:pPr>
      <w:r>
        <w:rPr>
          <w:rFonts w:ascii="Arial" w:eastAsia="Arial" w:hAnsi="Arial" w:cs="Arial"/>
          <w:sz w:val="28"/>
          <w:szCs w:val="28"/>
        </w:rPr>
        <w:lastRenderedPageBreak/>
        <w:t xml:space="preserve"> </w:t>
      </w:r>
    </w:p>
    <w:p w14:paraId="17A59808" w14:textId="77777777" w:rsidR="00630A15" w:rsidRDefault="00723F32">
      <w:pPr>
        <w:ind w:left="3540" w:firstLine="700"/>
        <w:jc w:val="both"/>
        <w:rPr>
          <w:rFonts w:ascii="Arial" w:eastAsia="Arial" w:hAnsi="Arial" w:cs="Arial"/>
          <w:sz w:val="28"/>
          <w:szCs w:val="28"/>
        </w:rPr>
      </w:pPr>
      <w:r>
        <w:rPr>
          <w:rFonts w:ascii="Arial" w:eastAsia="Arial" w:hAnsi="Arial" w:cs="Arial"/>
          <w:sz w:val="28"/>
          <w:szCs w:val="28"/>
        </w:rPr>
        <w:t>“Em direito tributário, tanto um crédito quanto os respectivos juros e multas são considerados obrigação tributária principal, pois o enquadramento de uma obrigação tributária como principal depende exclusivamente do seu conteúdo pecuniário.</w:t>
      </w:r>
    </w:p>
    <w:p w14:paraId="46C633D0" w14:textId="77777777" w:rsidR="00630A15" w:rsidRDefault="00723F32">
      <w:pPr>
        <w:ind w:left="3540" w:firstLine="700"/>
        <w:jc w:val="both"/>
        <w:rPr>
          <w:rFonts w:ascii="Arial" w:eastAsia="Arial" w:hAnsi="Arial" w:cs="Arial"/>
          <w:sz w:val="28"/>
          <w:szCs w:val="28"/>
        </w:rPr>
      </w:pPr>
      <w:r>
        <w:rPr>
          <w:rFonts w:ascii="Arial" w:eastAsia="Arial" w:hAnsi="Arial" w:cs="Arial"/>
          <w:sz w:val="28"/>
          <w:szCs w:val="28"/>
        </w:rPr>
        <w:t xml:space="preserve"> </w:t>
      </w:r>
    </w:p>
    <w:p w14:paraId="3CBE8249" w14:textId="77777777" w:rsidR="00630A15" w:rsidRDefault="00723F32">
      <w:pPr>
        <w:ind w:left="3540" w:firstLine="700"/>
        <w:jc w:val="both"/>
        <w:rPr>
          <w:rFonts w:ascii="Arial" w:eastAsia="Arial" w:hAnsi="Arial" w:cs="Arial"/>
          <w:b/>
          <w:sz w:val="28"/>
          <w:szCs w:val="28"/>
        </w:rPr>
      </w:pPr>
      <w:r>
        <w:rPr>
          <w:rFonts w:ascii="Arial" w:eastAsia="Arial" w:hAnsi="Arial" w:cs="Arial"/>
          <w:sz w:val="28"/>
          <w:szCs w:val="28"/>
        </w:rPr>
        <w:t xml:space="preserve">Conforme já se analisou no estudo do conceito de tributo, a multa é, exatamente, o que o tributo, por definição legal, está impedido de ser: a sanção por ato ilícito. </w:t>
      </w:r>
      <w:r>
        <w:rPr>
          <w:rFonts w:ascii="Arial" w:eastAsia="Arial" w:hAnsi="Arial" w:cs="Arial"/>
          <w:b/>
          <w:sz w:val="28"/>
          <w:szCs w:val="28"/>
        </w:rPr>
        <w:t>Entretanto, a obrigação de pagar a multa tributária foi tratada pelo CTN como obrigação tributária principal.</w:t>
      </w:r>
    </w:p>
    <w:p w14:paraId="73990E8C" w14:textId="77777777" w:rsidR="00630A15" w:rsidRDefault="00723F32">
      <w:pPr>
        <w:ind w:left="3540" w:firstLine="700"/>
        <w:jc w:val="both"/>
        <w:rPr>
          <w:rFonts w:ascii="Arial" w:eastAsia="Arial" w:hAnsi="Arial" w:cs="Arial"/>
          <w:sz w:val="28"/>
          <w:szCs w:val="28"/>
        </w:rPr>
      </w:pPr>
      <w:r>
        <w:rPr>
          <w:rFonts w:ascii="Arial" w:eastAsia="Arial" w:hAnsi="Arial" w:cs="Arial"/>
          <w:sz w:val="28"/>
          <w:szCs w:val="28"/>
        </w:rPr>
        <w:t xml:space="preserve"> </w:t>
      </w:r>
    </w:p>
    <w:p w14:paraId="51CFFD81" w14:textId="77777777" w:rsidR="00630A15" w:rsidRDefault="00723F32">
      <w:pPr>
        <w:ind w:left="3540" w:firstLine="700"/>
        <w:jc w:val="both"/>
        <w:rPr>
          <w:rFonts w:ascii="Arial" w:eastAsia="Arial" w:hAnsi="Arial" w:cs="Arial"/>
          <w:b/>
          <w:sz w:val="28"/>
          <w:szCs w:val="28"/>
        </w:rPr>
      </w:pPr>
      <w:r>
        <w:rPr>
          <w:rFonts w:ascii="Arial" w:eastAsia="Arial" w:hAnsi="Arial" w:cs="Arial"/>
          <w:sz w:val="28"/>
          <w:szCs w:val="28"/>
        </w:rPr>
        <w:t xml:space="preserve">Vale dizer: </w:t>
      </w:r>
      <w:r>
        <w:rPr>
          <w:rFonts w:ascii="Arial" w:eastAsia="Arial" w:hAnsi="Arial" w:cs="Arial"/>
          <w:b/>
          <w:sz w:val="28"/>
          <w:szCs w:val="28"/>
        </w:rPr>
        <w:t>multa não é tributo, mas a obrigação de pagá-la tem natureza tributária”.</w:t>
      </w:r>
    </w:p>
    <w:p w14:paraId="333D2664" w14:textId="77777777" w:rsidR="00630A15" w:rsidRDefault="00723F32">
      <w:pPr>
        <w:ind w:left="3540" w:firstLine="700"/>
        <w:jc w:val="both"/>
        <w:rPr>
          <w:rFonts w:ascii="Arial" w:eastAsia="Arial" w:hAnsi="Arial" w:cs="Arial"/>
          <w:sz w:val="28"/>
          <w:szCs w:val="28"/>
        </w:rPr>
      </w:pPr>
      <w:r>
        <w:rPr>
          <w:rFonts w:ascii="Arial" w:eastAsia="Arial" w:hAnsi="Arial" w:cs="Arial"/>
          <w:sz w:val="28"/>
          <w:szCs w:val="28"/>
        </w:rPr>
        <w:t xml:space="preserve"> </w:t>
      </w:r>
    </w:p>
    <w:p w14:paraId="4BF68CB7" w14:textId="77777777" w:rsidR="00630A15" w:rsidRDefault="00723F32">
      <w:pPr>
        <w:ind w:left="3540"/>
        <w:jc w:val="both"/>
        <w:rPr>
          <w:rFonts w:ascii="Arial" w:eastAsia="Arial" w:hAnsi="Arial" w:cs="Arial"/>
          <w:b/>
          <w:sz w:val="28"/>
          <w:szCs w:val="28"/>
        </w:rPr>
      </w:pPr>
      <w:r>
        <w:rPr>
          <w:rFonts w:ascii="Arial" w:eastAsia="Arial" w:hAnsi="Arial" w:cs="Arial"/>
          <w:sz w:val="28"/>
          <w:szCs w:val="28"/>
        </w:rPr>
        <w:t xml:space="preserve">(In: ALEXANDRE, Ricardo. Direito Tributário Esquematizado. 9 ed. rev. atual. e </w:t>
      </w:r>
      <w:proofErr w:type="spellStart"/>
      <w:r>
        <w:rPr>
          <w:rFonts w:ascii="Arial" w:eastAsia="Arial" w:hAnsi="Arial" w:cs="Arial"/>
          <w:sz w:val="28"/>
          <w:szCs w:val="28"/>
        </w:rPr>
        <w:t>ampl</w:t>
      </w:r>
      <w:proofErr w:type="spellEnd"/>
      <w:r>
        <w:rPr>
          <w:rFonts w:ascii="Arial" w:eastAsia="Arial" w:hAnsi="Arial" w:cs="Arial"/>
          <w:sz w:val="28"/>
          <w:szCs w:val="28"/>
        </w:rPr>
        <w:t xml:space="preserve">. – Rio de Janeiro. Forense. São Paulo: MÉTODO, 2015). P.272. </w:t>
      </w:r>
      <w:r>
        <w:rPr>
          <w:rFonts w:ascii="Arial" w:eastAsia="Arial" w:hAnsi="Arial" w:cs="Arial"/>
          <w:b/>
          <w:sz w:val="28"/>
          <w:szCs w:val="28"/>
        </w:rPr>
        <w:t>Grifo nosso.</w:t>
      </w:r>
    </w:p>
    <w:p w14:paraId="4C811FC6" w14:textId="77777777" w:rsidR="00630A15" w:rsidRDefault="00723F32">
      <w:pPr>
        <w:ind w:firstLine="700"/>
        <w:jc w:val="both"/>
        <w:rPr>
          <w:rFonts w:ascii="Arial" w:eastAsia="Arial" w:hAnsi="Arial" w:cs="Arial"/>
          <w:sz w:val="28"/>
          <w:szCs w:val="28"/>
        </w:rPr>
      </w:pPr>
      <w:r>
        <w:rPr>
          <w:rFonts w:ascii="Arial" w:eastAsia="Arial" w:hAnsi="Arial" w:cs="Arial"/>
          <w:sz w:val="28"/>
          <w:szCs w:val="28"/>
        </w:rPr>
        <w:t xml:space="preserve"> </w:t>
      </w:r>
    </w:p>
    <w:p w14:paraId="10ACB9DC" w14:textId="77777777" w:rsidR="00630A15" w:rsidRDefault="00630A15">
      <w:pPr>
        <w:ind w:firstLine="700"/>
        <w:jc w:val="both"/>
        <w:rPr>
          <w:rFonts w:ascii="Arial" w:eastAsia="Arial" w:hAnsi="Arial" w:cs="Arial"/>
          <w:sz w:val="28"/>
          <w:szCs w:val="28"/>
        </w:rPr>
      </w:pPr>
    </w:p>
    <w:p w14:paraId="4D62F8F9" w14:textId="77777777" w:rsidR="00630A15" w:rsidRDefault="00630A15">
      <w:pPr>
        <w:ind w:firstLine="700"/>
        <w:jc w:val="both"/>
        <w:rPr>
          <w:rFonts w:ascii="Arial" w:eastAsia="Arial" w:hAnsi="Arial" w:cs="Arial"/>
          <w:sz w:val="28"/>
          <w:szCs w:val="28"/>
        </w:rPr>
      </w:pPr>
    </w:p>
    <w:p w14:paraId="68F6504E" w14:textId="77777777" w:rsidR="00630A15" w:rsidRDefault="00723F32">
      <w:pPr>
        <w:spacing w:line="360" w:lineRule="auto"/>
        <w:ind w:firstLine="700"/>
        <w:jc w:val="both"/>
        <w:rPr>
          <w:rFonts w:ascii="Arial" w:eastAsia="Arial" w:hAnsi="Arial" w:cs="Arial"/>
          <w:sz w:val="28"/>
          <w:szCs w:val="28"/>
        </w:rPr>
      </w:pPr>
      <w:r>
        <w:rPr>
          <w:rFonts w:ascii="Arial" w:eastAsia="Arial" w:hAnsi="Arial" w:cs="Arial"/>
          <w:sz w:val="28"/>
          <w:szCs w:val="28"/>
        </w:rPr>
        <w:t>Tendo em vista a natureza tributária da proposição, temos que esta deve ser analisada à luz do 14 da Lei de Responsabilidade Fiscal, seus incisos e parágrafos:</w:t>
      </w:r>
    </w:p>
    <w:p w14:paraId="4C73B719" w14:textId="77777777" w:rsidR="00630A15" w:rsidRDefault="00723F32">
      <w:pPr>
        <w:ind w:left="3540"/>
        <w:jc w:val="both"/>
        <w:rPr>
          <w:rFonts w:ascii="Arial" w:eastAsia="Arial" w:hAnsi="Arial" w:cs="Arial"/>
          <w:sz w:val="28"/>
          <w:szCs w:val="28"/>
        </w:rPr>
      </w:pPr>
      <w:r>
        <w:rPr>
          <w:rFonts w:ascii="Arial" w:eastAsia="Arial" w:hAnsi="Arial" w:cs="Arial"/>
          <w:sz w:val="28"/>
          <w:szCs w:val="28"/>
        </w:rPr>
        <w:t xml:space="preserve">Art. 14. A concessão ou ampliação de incentivo ou benefício de natureza tributária da qual decorra renúncia de receita deverá estar acompanhada de </w:t>
      </w:r>
      <w:r>
        <w:rPr>
          <w:rFonts w:ascii="Arial" w:eastAsia="Arial" w:hAnsi="Arial" w:cs="Arial"/>
          <w:b/>
          <w:sz w:val="28"/>
          <w:szCs w:val="28"/>
        </w:rPr>
        <w:t xml:space="preserve">estimativa do impacto orçamentário financeiro </w:t>
      </w:r>
      <w:r>
        <w:rPr>
          <w:rFonts w:ascii="Arial" w:eastAsia="Arial" w:hAnsi="Arial" w:cs="Arial"/>
          <w:sz w:val="28"/>
          <w:szCs w:val="28"/>
        </w:rPr>
        <w:t xml:space="preserve">no exercício em que deva iniciar sua vigência e nos dois seguintes, atender ao disposto na lei de diretrizes orçamentárias e </w:t>
      </w:r>
      <w:r>
        <w:rPr>
          <w:rFonts w:ascii="Arial" w:eastAsia="Arial" w:hAnsi="Arial" w:cs="Arial"/>
          <w:b/>
          <w:sz w:val="28"/>
          <w:szCs w:val="28"/>
        </w:rPr>
        <w:t xml:space="preserve">a pelo menos uma </w:t>
      </w:r>
      <w:r>
        <w:rPr>
          <w:rFonts w:ascii="Arial" w:eastAsia="Arial" w:hAnsi="Arial" w:cs="Arial"/>
          <w:sz w:val="28"/>
          <w:szCs w:val="28"/>
        </w:rPr>
        <w:t>das seguintes condições:</w:t>
      </w:r>
    </w:p>
    <w:p w14:paraId="0E44101A" w14:textId="77777777" w:rsidR="00630A15" w:rsidRDefault="00723F32">
      <w:pPr>
        <w:ind w:left="3540"/>
        <w:jc w:val="both"/>
        <w:rPr>
          <w:rFonts w:ascii="Arial" w:eastAsia="Arial" w:hAnsi="Arial" w:cs="Arial"/>
          <w:sz w:val="28"/>
          <w:szCs w:val="28"/>
        </w:rPr>
      </w:pPr>
      <w:r>
        <w:rPr>
          <w:rFonts w:ascii="Arial" w:eastAsia="Arial" w:hAnsi="Arial" w:cs="Arial"/>
          <w:sz w:val="28"/>
          <w:szCs w:val="28"/>
        </w:rPr>
        <w:t xml:space="preserve"> </w:t>
      </w:r>
    </w:p>
    <w:p w14:paraId="642A7D00" w14:textId="77777777" w:rsidR="00630A15" w:rsidRDefault="00723F32">
      <w:pPr>
        <w:ind w:left="3540"/>
        <w:jc w:val="both"/>
        <w:rPr>
          <w:rFonts w:ascii="Arial" w:eastAsia="Arial" w:hAnsi="Arial" w:cs="Arial"/>
          <w:sz w:val="28"/>
          <w:szCs w:val="28"/>
        </w:rPr>
      </w:pPr>
      <w:r>
        <w:rPr>
          <w:rFonts w:ascii="Arial" w:eastAsia="Arial" w:hAnsi="Arial" w:cs="Arial"/>
          <w:sz w:val="28"/>
          <w:szCs w:val="28"/>
        </w:rPr>
        <w:lastRenderedPageBreak/>
        <w:t xml:space="preserve">I- </w:t>
      </w:r>
      <w:proofErr w:type="gramStart"/>
      <w:r>
        <w:rPr>
          <w:rFonts w:ascii="Arial" w:eastAsia="Arial" w:hAnsi="Arial" w:cs="Arial"/>
          <w:sz w:val="28"/>
          <w:szCs w:val="28"/>
        </w:rPr>
        <w:t>demonstração</w:t>
      </w:r>
      <w:proofErr w:type="gramEnd"/>
      <w:r>
        <w:rPr>
          <w:rFonts w:ascii="Arial" w:eastAsia="Arial" w:hAnsi="Arial" w:cs="Arial"/>
          <w:sz w:val="28"/>
          <w:szCs w:val="28"/>
        </w:rPr>
        <w:t xml:space="preserve"> pelo proponente de que a renúncia foi considerada na estimativa de receita da lei orçamentária, na forma do art. 12, e de que não afetará as metas de resultados fiscais previstas no anexo próprio da lei de diretrizes orçamentárias;</w:t>
      </w:r>
    </w:p>
    <w:p w14:paraId="4D0A54BF" w14:textId="77777777" w:rsidR="00630A15" w:rsidRDefault="00723F32">
      <w:pPr>
        <w:ind w:left="3540"/>
        <w:jc w:val="both"/>
        <w:rPr>
          <w:rFonts w:ascii="Arial" w:eastAsia="Arial" w:hAnsi="Arial" w:cs="Arial"/>
          <w:sz w:val="28"/>
          <w:szCs w:val="28"/>
        </w:rPr>
      </w:pPr>
      <w:r>
        <w:rPr>
          <w:rFonts w:ascii="Arial" w:eastAsia="Arial" w:hAnsi="Arial" w:cs="Arial"/>
          <w:sz w:val="28"/>
          <w:szCs w:val="28"/>
        </w:rPr>
        <w:t xml:space="preserve"> </w:t>
      </w:r>
    </w:p>
    <w:p w14:paraId="206204DF" w14:textId="77777777" w:rsidR="00630A15" w:rsidRDefault="00723F32">
      <w:pPr>
        <w:ind w:left="3540"/>
        <w:jc w:val="both"/>
        <w:rPr>
          <w:rFonts w:ascii="Arial" w:eastAsia="Arial" w:hAnsi="Arial" w:cs="Arial"/>
          <w:sz w:val="28"/>
          <w:szCs w:val="28"/>
        </w:rPr>
      </w:pPr>
      <w:r>
        <w:rPr>
          <w:rFonts w:ascii="Arial" w:eastAsia="Arial" w:hAnsi="Arial" w:cs="Arial"/>
          <w:sz w:val="28"/>
          <w:szCs w:val="28"/>
        </w:rPr>
        <w:t>II estar acompanhada de medidas de compensação, no período mencionado no caput, por meio do aumento de receita, proveniente da elevação de alíquotas, ampliação da base de cálculo, majoração ou criação de tributo ou contribuição.</w:t>
      </w:r>
    </w:p>
    <w:p w14:paraId="6B619E8C" w14:textId="77777777" w:rsidR="00630A15" w:rsidRDefault="00723F32">
      <w:pPr>
        <w:ind w:left="3540"/>
        <w:jc w:val="both"/>
        <w:rPr>
          <w:rFonts w:ascii="Arial" w:eastAsia="Arial" w:hAnsi="Arial" w:cs="Arial"/>
          <w:sz w:val="28"/>
          <w:szCs w:val="28"/>
        </w:rPr>
      </w:pPr>
      <w:r>
        <w:rPr>
          <w:rFonts w:ascii="Arial" w:eastAsia="Arial" w:hAnsi="Arial" w:cs="Arial"/>
          <w:sz w:val="28"/>
          <w:szCs w:val="28"/>
        </w:rPr>
        <w:t xml:space="preserve"> </w:t>
      </w:r>
    </w:p>
    <w:p w14:paraId="1B0C6243" w14:textId="77777777" w:rsidR="00630A15" w:rsidRDefault="00723F32">
      <w:pPr>
        <w:ind w:left="3540"/>
        <w:jc w:val="both"/>
        <w:rPr>
          <w:rFonts w:ascii="Arial" w:eastAsia="Arial" w:hAnsi="Arial" w:cs="Arial"/>
          <w:sz w:val="28"/>
          <w:szCs w:val="28"/>
        </w:rPr>
      </w:pPr>
      <w:r>
        <w:rPr>
          <w:rFonts w:ascii="Arial" w:eastAsia="Arial" w:hAnsi="Arial" w:cs="Arial"/>
          <w:sz w:val="28"/>
          <w:szCs w:val="28"/>
        </w:rPr>
        <w:t>§ 1o A renúncia compreende anistia, remissão, subsídio, crédito presumido, concessão de isenção em caráter não geral, alteração de alíquota ou modificação de base de cálculo que implique redução discriminada de tributos ou contribuições, e outros benefícios que correspondam a tratamento diferenciado.</w:t>
      </w:r>
    </w:p>
    <w:p w14:paraId="4522727D" w14:textId="77777777" w:rsidR="00630A15" w:rsidRDefault="00723F32">
      <w:pPr>
        <w:jc w:val="both"/>
        <w:rPr>
          <w:rFonts w:ascii="Arial" w:eastAsia="Arial" w:hAnsi="Arial" w:cs="Arial"/>
          <w:sz w:val="28"/>
          <w:szCs w:val="28"/>
        </w:rPr>
      </w:pPr>
      <w:r>
        <w:rPr>
          <w:rFonts w:ascii="Arial" w:eastAsia="Arial" w:hAnsi="Arial" w:cs="Arial"/>
          <w:sz w:val="28"/>
          <w:szCs w:val="28"/>
        </w:rPr>
        <w:t xml:space="preserve"> </w:t>
      </w:r>
    </w:p>
    <w:p w14:paraId="558F108E" w14:textId="77777777" w:rsidR="00630A15" w:rsidRDefault="00723F32">
      <w:pPr>
        <w:jc w:val="both"/>
        <w:rPr>
          <w:rFonts w:ascii="Arial" w:eastAsia="Arial" w:hAnsi="Arial" w:cs="Arial"/>
          <w:sz w:val="28"/>
          <w:szCs w:val="28"/>
        </w:rPr>
      </w:pPr>
      <w:r>
        <w:rPr>
          <w:rFonts w:ascii="Arial" w:eastAsia="Arial" w:hAnsi="Arial" w:cs="Arial"/>
          <w:sz w:val="28"/>
          <w:szCs w:val="28"/>
        </w:rPr>
        <w:t xml:space="preserve"> </w:t>
      </w:r>
    </w:p>
    <w:p w14:paraId="6C7B0E0C" w14:textId="77777777" w:rsidR="00630A15" w:rsidRPr="00152301" w:rsidRDefault="00723F32">
      <w:pPr>
        <w:spacing w:line="360" w:lineRule="auto"/>
        <w:ind w:firstLine="720"/>
        <w:jc w:val="both"/>
        <w:rPr>
          <w:rFonts w:ascii="Arial" w:eastAsia="Arial" w:hAnsi="Arial" w:cs="Arial"/>
          <w:bCs/>
          <w:sz w:val="28"/>
          <w:szCs w:val="28"/>
        </w:rPr>
      </w:pPr>
      <w:r>
        <w:rPr>
          <w:rFonts w:ascii="Arial" w:eastAsia="Arial" w:hAnsi="Arial" w:cs="Arial"/>
          <w:sz w:val="28"/>
          <w:szCs w:val="28"/>
        </w:rPr>
        <w:t>A esse respeito,</w:t>
      </w:r>
      <w:r>
        <w:rPr>
          <w:rFonts w:ascii="Arial" w:eastAsia="Arial" w:hAnsi="Arial" w:cs="Arial"/>
          <w:b/>
          <w:sz w:val="28"/>
          <w:szCs w:val="28"/>
        </w:rPr>
        <w:t xml:space="preserve"> </w:t>
      </w:r>
      <w:r w:rsidRPr="00152301">
        <w:rPr>
          <w:rFonts w:ascii="Arial" w:eastAsia="Arial" w:hAnsi="Arial" w:cs="Arial"/>
          <w:bCs/>
          <w:sz w:val="28"/>
          <w:szCs w:val="28"/>
        </w:rPr>
        <w:t>verifica-se que não acompanha os autos o estudo de impacto orçamentário financeiro, a ser emitido pela Secretaria da Fazenda, restando, prejudicada a análise quanto a esse quesito.</w:t>
      </w:r>
    </w:p>
    <w:p w14:paraId="47D6C2DE" w14:textId="77777777" w:rsidR="00630A15" w:rsidRDefault="00723F32">
      <w:pPr>
        <w:spacing w:line="360" w:lineRule="auto"/>
        <w:jc w:val="both"/>
        <w:rPr>
          <w:rFonts w:ascii="Arial" w:eastAsia="Arial" w:hAnsi="Arial" w:cs="Arial"/>
          <w:sz w:val="28"/>
          <w:szCs w:val="28"/>
        </w:rPr>
      </w:pPr>
      <w:r>
        <w:rPr>
          <w:rFonts w:ascii="Arial" w:eastAsia="Arial" w:hAnsi="Arial" w:cs="Arial"/>
          <w:sz w:val="28"/>
          <w:szCs w:val="28"/>
        </w:rPr>
        <w:t xml:space="preserve"> </w:t>
      </w:r>
    </w:p>
    <w:p w14:paraId="14FE96B1" w14:textId="77777777" w:rsidR="00630A15" w:rsidRDefault="00723F32">
      <w:pPr>
        <w:spacing w:line="360" w:lineRule="auto"/>
        <w:jc w:val="both"/>
        <w:rPr>
          <w:rFonts w:ascii="Arial" w:eastAsia="Arial" w:hAnsi="Arial" w:cs="Arial"/>
          <w:sz w:val="28"/>
          <w:szCs w:val="28"/>
        </w:rPr>
      </w:pPr>
      <w:r>
        <w:rPr>
          <w:rFonts w:ascii="Arial" w:eastAsia="Arial" w:hAnsi="Arial" w:cs="Arial"/>
          <w:sz w:val="28"/>
          <w:szCs w:val="28"/>
        </w:rPr>
        <w:t xml:space="preserve">      </w:t>
      </w:r>
      <w:r>
        <w:rPr>
          <w:rFonts w:ascii="Arial" w:eastAsia="Arial" w:hAnsi="Arial" w:cs="Arial"/>
          <w:sz w:val="28"/>
          <w:szCs w:val="28"/>
        </w:rPr>
        <w:tab/>
        <w:t>Por fim, anotamos que a deliberação pelo plenário da nobre Casa Legislativa deve ser precedida da manifestação das seguintes comissões permanentes:</w:t>
      </w:r>
    </w:p>
    <w:p w14:paraId="05E7C831" w14:textId="77777777" w:rsidR="00630A15" w:rsidRDefault="00723F32">
      <w:pPr>
        <w:jc w:val="both"/>
        <w:rPr>
          <w:rFonts w:ascii="Arial" w:eastAsia="Arial" w:hAnsi="Arial" w:cs="Arial"/>
          <w:sz w:val="28"/>
          <w:szCs w:val="28"/>
        </w:rPr>
      </w:pPr>
      <w:r>
        <w:rPr>
          <w:rFonts w:ascii="Arial" w:eastAsia="Arial" w:hAnsi="Arial" w:cs="Arial"/>
          <w:sz w:val="28"/>
          <w:szCs w:val="28"/>
        </w:rPr>
        <w:t xml:space="preserve"> </w:t>
      </w:r>
    </w:p>
    <w:p w14:paraId="27F7A2A5" w14:textId="77777777" w:rsidR="00630A15" w:rsidRDefault="00723F32">
      <w:pPr>
        <w:jc w:val="both"/>
        <w:rPr>
          <w:rFonts w:ascii="Arial" w:eastAsia="Arial" w:hAnsi="Arial" w:cs="Arial"/>
          <w:sz w:val="28"/>
          <w:szCs w:val="28"/>
        </w:rPr>
      </w:pPr>
      <w:r>
        <w:rPr>
          <w:rFonts w:ascii="Arial" w:eastAsia="Arial" w:hAnsi="Arial" w:cs="Arial"/>
          <w:sz w:val="28"/>
          <w:szCs w:val="28"/>
        </w:rPr>
        <w:t xml:space="preserve">a)  </w:t>
      </w:r>
      <w:r>
        <w:rPr>
          <w:rFonts w:ascii="Arial" w:eastAsia="Arial" w:hAnsi="Arial" w:cs="Arial"/>
          <w:sz w:val="28"/>
          <w:szCs w:val="28"/>
        </w:rPr>
        <w:tab/>
        <w:t>LEGISLAÇÃO E JUSTIÇA, por ser condição de tramitação do processo legislativo para todas as proposições em geral:</w:t>
      </w:r>
    </w:p>
    <w:p w14:paraId="6227592C" w14:textId="77777777" w:rsidR="00630A15" w:rsidRDefault="00723F32">
      <w:pPr>
        <w:jc w:val="both"/>
        <w:rPr>
          <w:rFonts w:ascii="Arial" w:eastAsia="Arial" w:hAnsi="Arial" w:cs="Arial"/>
          <w:sz w:val="28"/>
          <w:szCs w:val="28"/>
        </w:rPr>
      </w:pPr>
      <w:r>
        <w:rPr>
          <w:rFonts w:ascii="Arial" w:eastAsia="Arial" w:hAnsi="Arial" w:cs="Arial"/>
          <w:sz w:val="28"/>
          <w:szCs w:val="28"/>
        </w:rPr>
        <w:t xml:space="preserve"> </w:t>
      </w:r>
    </w:p>
    <w:p w14:paraId="1A94E6E5" w14:textId="77777777" w:rsidR="00630A15" w:rsidRDefault="00723F32">
      <w:pPr>
        <w:ind w:left="3540"/>
        <w:jc w:val="both"/>
        <w:rPr>
          <w:rFonts w:ascii="Arial" w:eastAsia="Arial" w:hAnsi="Arial" w:cs="Arial"/>
          <w:sz w:val="28"/>
          <w:szCs w:val="28"/>
        </w:rPr>
      </w:pPr>
      <w:r>
        <w:rPr>
          <w:rFonts w:ascii="Arial" w:eastAsia="Arial" w:hAnsi="Arial" w:cs="Arial"/>
          <w:sz w:val="28"/>
          <w:szCs w:val="28"/>
        </w:rPr>
        <w:t xml:space="preserve">Art. 76- Compete à Comissão de Legislação e Justiça manifestar-se sobre todos os assuntos nos aspectos constitucional, redacional e legal e, quando já aprovados </w:t>
      </w:r>
      <w:r>
        <w:rPr>
          <w:rFonts w:ascii="Arial" w:eastAsia="Arial" w:hAnsi="Arial" w:cs="Arial"/>
          <w:sz w:val="28"/>
          <w:szCs w:val="28"/>
        </w:rPr>
        <w:lastRenderedPageBreak/>
        <w:t>pelo Plenário, analisá-los sob os aspectos lógico e gramatical, de modo a adequar ao bom vernáculo o texto das proposições.</w:t>
      </w:r>
    </w:p>
    <w:p w14:paraId="5D6AA6F9" w14:textId="77777777" w:rsidR="00630A15" w:rsidRDefault="00723F32">
      <w:pPr>
        <w:ind w:left="3540"/>
        <w:jc w:val="both"/>
        <w:rPr>
          <w:rFonts w:ascii="Arial" w:eastAsia="Arial" w:hAnsi="Arial" w:cs="Arial"/>
          <w:sz w:val="28"/>
          <w:szCs w:val="28"/>
        </w:rPr>
      </w:pPr>
      <w:r>
        <w:rPr>
          <w:rFonts w:ascii="Arial" w:eastAsia="Arial" w:hAnsi="Arial" w:cs="Arial"/>
          <w:sz w:val="28"/>
          <w:szCs w:val="28"/>
        </w:rPr>
        <w:t>§ 1º- Salvo expressa disposição em contrário deste Regimento, é obrigatória a audiência da Comissão de Legislação e Justiça em todos os projetos de lei e determinadas matérias que tramitarem pela Câmara.</w:t>
      </w:r>
    </w:p>
    <w:p w14:paraId="5F9478BE" w14:textId="77777777" w:rsidR="00630A15" w:rsidRDefault="00723F32">
      <w:pPr>
        <w:jc w:val="both"/>
        <w:rPr>
          <w:rFonts w:ascii="Arial" w:eastAsia="Arial" w:hAnsi="Arial" w:cs="Arial"/>
          <w:sz w:val="28"/>
          <w:szCs w:val="28"/>
        </w:rPr>
      </w:pPr>
      <w:r>
        <w:rPr>
          <w:rFonts w:ascii="Arial" w:eastAsia="Arial" w:hAnsi="Arial" w:cs="Arial"/>
          <w:sz w:val="28"/>
          <w:szCs w:val="28"/>
        </w:rPr>
        <w:t xml:space="preserve"> </w:t>
      </w:r>
    </w:p>
    <w:p w14:paraId="5DE90C81" w14:textId="77777777" w:rsidR="00630A15" w:rsidRDefault="00723F32">
      <w:pPr>
        <w:jc w:val="both"/>
        <w:rPr>
          <w:rFonts w:ascii="Arial" w:eastAsia="Arial" w:hAnsi="Arial" w:cs="Arial"/>
          <w:sz w:val="28"/>
          <w:szCs w:val="28"/>
        </w:rPr>
      </w:pPr>
      <w:r>
        <w:rPr>
          <w:rFonts w:ascii="Arial" w:eastAsia="Arial" w:hAnsi="Arial" w:cs="Arial"/>
          <w:sz w:val="28"/>
          <w:szCs w:val="28"/>
        </w:rPr>
        <w:t xml:space="preserve"> </w:t>
      </w:r>
    </w:p>
    <w:p w14:paraId="509197E4" w14:textId="77777777" w:rsidR="00630A15" w:rsidRDefault="00723F32">
      <w:pPr>
        <w:jc w:val="both"/>
        <w:rPr>
          <w:rFonts w:ascii="Arial" w:eastAsia="Arial" w:hAnsi="Arial" w:cs="Arial"/>
          <w:sz w:val="28"/>
          <w:szCs w:val="28"/>
        </w:rPr>
      </w:pPr>
      <w:r>
        <w:rPr>
          <w:rFonts w:ascii="Arial" w:eastAsia="Arial" w:hAnsi="Arial" w:cs="Arial"/>
          <w:sz w:val="28"/>
          <w:szCs w:val="28"/>
        </w:rPr>
        <w:t xml:space="preserve">b)  </w:t>
      </w:r>
      <w:r>
        <w:rPr>
          <w:rFonts w:ascii="Arial" w:eastAsia="Arial" w:hAnsi="Arial" w:cs="Arial"/>
          <w:sz w:val="28"/>
          <w:szCs w:val="28"/>
        </w:rPr>
        <w:tab/>
        <w:t>FINANÇAS E ORÇAMENTO, por competência específica, eis que a proposição envolve matéria tributária.</w:t>
      </w:r>
    </w:p>
    <w:p w14:paraId="7C7CD64C" w14:textId="77777777" w:rsidR="00630A15" w:rsidRDefault="00723F32">
      <w:pPr>
        <w:jc w:val="both"/>
        <w:rPr>
          <w:rFonts w:ascii="Arial" w:eastAsia="Arial" w:hAnsi="Arial" w:cs="Arial"/>
          <w:sz w:val="28"/>
          <w:szCs w:val="28"/>
        </w:rPr>
      </w:pPr>
      <w:r>
        <w:rPr>
          <w:rFonts w:ascii="Arial" w:eastAsia="Arial" w:hAnsi="Arial" w:cs="Arial"/>
          <w:sz w:val="28"/>
          <w:szCs w:val="28"/>
        </w:rPr>
        <w:t xml:space="preserve"> </w:t>
      </w:r>
    </w:p>
    <w:p w14:paraId="5C3624F5" w14:textId="77777777" w:rsidR="00630A15" w:rsidRDefault="00723F32">
      <w:pPr>
        <w:jc w:val="both"/>
        <w:rPr>
          <w:rFonts w:ascii="Arial" w:eastAsia="Arial" w:hAnsi="Arial" w:cs="Arial"/>
          <w:sz w:val="28"/>
          <w:szCs w:val="28"/>
        </w:rPr>
      </w:pPr>
      <w:r>
        <w:rPr>
          <w:rFonts w:ascii="Arial" w:eastAsia="Arial" w:hAnsi="Arial" w:cs="Arial"/>
          <w:sz w:val="28"/>
          <w:szCs w:val="28"/>
        </w:rPr>
        <w:t xml:space="preserve"> </w:t>
      </w:r>
    </w:p>
    <w:p w14:paraId="2434B4E1" w14:textId="77777777" w:rsidR="00630A15" w:rsidRDefault="00723F32">
      <w:pPr>
        <w:ind w:left="3540"/>
        <w:jc w:val="both"/>
        <w:rPr>
          <w:rFonts w:ascii="Arial" w:eastAsia="Arial" w:hAnsi="Arial" w:cs="Arial"/>
          <w:i/>
          <w:sz w:val="28"/>
          <w:szCs w:val="28"/>
        </w:rPr>
      </w:pPr>
      <w:r>
        <w:rPr>
          <w:rFonts w:ascii="Arial" w:eastAsia="Arial" w:hAnsi="Arial" w:cs="Arial"/>
          <w:i/>
          <w:sz w:val="28"/>
          <w:szCs w:val="28"/>
        </w:rPr>
        <w:t>Art. 77- Compete à Comissão de Finanças e Orçamento opinar obrigatoriamente sobre todas as matérias de caráter financeiro, e especialmente quando for o caso de:</w:t>
      </w:r>
    </w:p>
    <w:p w14:paraId="150BE878" w14:textId="77777777" w:rsidR="00630A15" w:rsidRDefault="00723F32">
      <w:pPr>
        <w:ind w:left="3540"/>
        <w:jc w:val="both"/>
        <w:rPr>
          <w:rFonts w:ascii="Arial" w:eastAsia="Arial" w:hAnsi="Arial" w:cs="Arial"/>
          <w:i/>
          <w:sz w:val="28"/>
          <w:szCs w:val="28"/>
        </w:rPr>
      </w:pPr>
      <w:r>
        <w:rPr>
          <w:rFonts w:ascii="Arial" w:eastAsia="Arial" w:hAnsi="Arial" w:cs="Arial"/>
          <w:i/>
          <w:sz w:val="28"/>
          <w:szCs w:val="28"/>
        </w:rPr>
        <w:t>(...)</w:t>
      </w:r>
    </w:p>
    <w:p w14:paraId="04E1F713" w14:textId="77777777" w:rsidR="00630A15" w:rsidRDefault="00723F32">
      <w:pPr>
        <w:ind w:left="3540"/>
        <w:jc w:val="both"/>
        <w:rPr>
          <w:rFonts w:ascii="Arial" w:eastAsia="Arial" w:hAnsi="Arial" w:cs="Arial"/>
          <w:i/>
          <w:sz w:val="28"/>
          <w:szCs w:val="28"/>
        </w:rPr>
      </w:pPr>
      <w:r>
        <w:rPr>
          <w:rFonts w:ascii="Arial" w:eastAsia="Arial" w:hAnsi="Arial" w:cs="Arial"/>
          <w:i/>
          <w:sz w:val="28"/>
          <w:szCs w:val="28"/>
        </w:rPr>
        <w:t xml:space="preserve">IV - </w:t>
      </w:r>
      <w:proofErr w:type="gramStart"/>
      <w:r>
        <w:rPr>
          <w:rFonts w:ascii="Arial" w:eastAsia="Arial" w:hAnsi="Arial" w:cs="Arial"/>
          <w:i/>
          <w:sz w:val="28"/>
          <w:szCs w:val="28"/>
        </w:rPr>
        <w:t>proposições</w:t>
      </w:r>
      <w:proofErr w:type="gramEnd"/>
      <w:r>
        <w:rPr>
          <w:rFonts w:ascii="Arial" w:eastAsia="Arial" w:hAnsi="Arial" w:cs="Arial"/>
          <w:i/>
          <w:sz w:val="28"/>
          <w:szCs w:val="28"/>
        </w:rPr>
        <w:t xml:space="preserve"> referentes a matérias tributárias; abertura de créditos; empréstimos públicos e as que, direta ou indiretamente, alterem a despesa ou a receita do Município, acarretem responsabilidades ao Erário Municipal ou interessem ao crédito e ao Patrimônio Público Municipal;</w:t>
      </w:r>
    </w:p>
    <w:p w14:paraId="6BD03F35" w14:textId="77777777" w:rsidR="00630A15" w:rsidRDefault="00723F32">
      <w:pPr>
        <w:jc w:val="both"/>
        <w:rPr>
          <w:rFonts w:ascii="Arial" w:eastAsia="Arial" w:hAnsi="Arial" w:cs="Arial"/>
          <w:sz w:val="28"/>
          <w:szCs w:val="28"/>
        </w:rPr>
      </w:pPr>
      <w:r>
        <w:rPr>
          <w:rFonts w:ascii="Arial" w:eastAsia="Arial" w:hAnsi="Arial" w:cs="Arial"/>
          <w:sz w:val="28"/>
          <w:szCs w:val="28"/>
        </w:rPr>
        <w:t xml:space="preserve"> </w:t>
      </w:r>
    </w:p>
    <w:p w14:paraId="2F15D402" w14:textId="77777777" w:rsidR="00630A15" w:rsidRDefault="00630A15">
      <w:pPr>
        <w:jc w:val="both"/>
        <w:rPr>
          <w:rFonts w:ascii="Arial" w:eastAsia="Arial" w:hAnsi="Arial" w:cs="Arial"/>
          <w:sz w:val="28"/>
          <w:szCs w:val="28"/>
        </w:rPr>
      </w:pPr>
    </w:p>
    <w:p w14:paraId="73731F06" w14:textId="77777777" w:rsidR="00630A15" w:rsidRDefault="00723F32">
      <w:pPr>
        <w:spacing w:before="240" w:after="240" w:line="360" w:lineRule="auto"/>
        <w:jc w:val="both"/>
        <w:rPr>
          <w:rFonts w:ascii="Arial" w:eastAsia="Arial" w:hAnsi="Arial" w:cs="Arial"/>
          <w:sz w:val="28"/>
          <w:szCs w:val="28"/>
        </w:rPr>
      </w:pPr>
      <w:r>
        <w:rPr>
          <w:rFonts w:ascii="Arial" w:eastAsia="Arial" w:hAnsi="Arial" w:cs="Arial"/>
          <w:b/>
          <w:sz w:val="28"/>
          <w:szCs w:val="28"/>
        </w:rPr>
        <w:t>CONSIDERAÇÕES FINAIS</w:t>
      </w:r>
      <w:r>
        <w:rPr>
          <w:rFonts w:ascii="Arial" w:eastAsia="Arial" w:hAnsi="Arial" w:cs="Arial"/>
          <w:sz w:val="28"/>
          <w:szCs w:val="28"/>
        </w:rPr>
        <w:t xml:space="preserve"> </w:t>
      </w:r>
    </w:p>
    <w:p w14:paraId="2A86023E" w14:textId="77777777" w:rsidR="00152301" w:rsidRDefault="00723F32">
      <w:pPr>
        <w:spacing w:before="240" w:after="240" w:line="360" w:lineRule="auto"/>
        <w:ind w:firstLine="700"/>
        <w:jc w:val="both"/>
        <w:rPr>
          <w:rFonts w:ascii="Arial" w:eastAsia="Arial" w:hAnsi="Arial" w:cs="Arial"/>
          <w:sz w:val="28"/>
          <w:szCs w:val="28"/>
        </w:rPr>
      </w:pPr>
      <w:r>
        <w:rPr>
          <w:rFonts w:ascii="Arial" w:eastAsia="Arial" w:hAnsi="Arial" w:cs="Arial"/>
          <w:sz w:val="28"/>
          <w:szCs w:val="28"/>
        </w:rPr>
        <w:t xml:space="preserve">Em conformidade com os fundamentos normativos e doutrinários apresentados acima, encaminhamos o expediente ao prosseguimento, </w:t>
      </w:r>
      <w:r>
        <w:rPr>
          <w:rFonts w:ascii="Arial" w:eastAsia="Arial" w:hAnsi="Arial" w:cs="Arial"/>
          <w:b/>
          <w:sz w:val="28"/>
          <w:szCs w:val="28"/>
        </w:rPr>
        <w:t>opinando pela viabilidade da tramitação</w:t>
      </w:r>
      <w:r>
        <w:rPr>
          <w:rFonts w:ascii="Arial" w:eastAsia="Arial" w:hAnsi="Arial" w:cs="Arial"/>
          <w:sz w:val="28"/>
          <w:szCs w:val="28"/>
        </w:rPr>
        <w:t xml:space="preserve">. </w:t>
      </w:r>
    </w:p>
    <w:p w14:paraId="2124F049" w14:textId="77777777" w:rsidR="00152301" w:rsidRDefault="00723F32">
      <w:pPr>
        <w:spacing w:before="240" w:after="240" w:line="360" w:lineRule="auto"/>
        <w:ind w:firstLine="700"/>
        <w:jc w:val="both"/>
        <w:rPr>
          <w:rFonts w:ascii="Arial" w:eastAsia="Arial" w:hAnsi="Arial" w:cs="Arial"/>
          <w:sz w:val="28"/>
          <w:szCs w:val="28"/>
        </w:rPr>
      </w:pPr>
      <w:r>
        <w:rPr>
          <w:rFonts w:ascii="Arial" w:eastAsia="Arial" w:hAnsi="Arial" w:cs="Arial"/>
          <w:sz w:val="28"/>
          <w:szCs w:val="28"/>
        </w:rPr>
        <w:t xml:space="preserve">Como de regra, anotamos que o presente parecer tem natureza opinativa e não vincula a decisão das comissões técnicas da edilidade. </w:t>
      </w:r>
    </w:p>
    <w:p w14:paraId="227A2244" w14:textId="75575EBD" w:rsidR="00630A15" w:rsidRDefault="00152301">
      <w:pPr>
        <w:spacing w:before="240" w:after="240" w:line="360" w:lineRule="auto"/>
        <w:ind w:firstLine="700"/>
        <w:jc w:val="both"/>
        <w:rPr>
          <w:rFonts w:ascii="Arial" w:eastAsia="Arial" w:hAnsi="Arial" w:cs="Arial"/>
          <w:sz w:val="28"/>
          <w:szCs w:val="28"/>
        </w:rPr>
      </w:pPr>
      <w:r>
        <w:rPr>
          <w:rFonts w:ascii="Arial" w:eastAsia="Arial" w:hAnsi="Arial" w:cs="Arial"/>
          <w:sz w:val="28"/>
          <w:szCs w:val="28"/>
        </w:rPr>
        <w:lastRenderedPageBreak/>
        <w:t>E</w:t>
      </w:r>
      <w:r w:rsidR="00723F32">
        <w:rPr>
          <w:rFonts w:ascii="Arial" w:eastAsia="Arial" w:hAnsi="Arial" w:cs="Arial"/>
          <w:sz w:val="28"/>
          <w:szCs w:val="28"/>
        </w:rPr>
        <w:t>ncaminhem-se os autos à Diretoria Legislativa para as devidas diligências.</w:t>
      </w:r>
    </w:p>
    <w:p w14:paraId="4281528F" w14:textId="518A5F88" w:rsidR="00630A15" w:rsidRDefault="00723F32">
      <w:pPr>
        <w:jc w:val="right"/>
        <w:rPr>
          <w:rFonts w:ascii="Arial" w:eastAsia="Arial" w:hAnsi="Arial" w:cs="Arial"/>
          <w:sz w:val="28"/>
          <w:szCs w:val="28"/>
        </w:rPr>
      </w:pPr>
      <w:r>
        <w:rPr>
          <w:rFonts w:ascii="Arial" w:eastAsia="Arial" w:hAnsi="Arial" w:cs="Arial"/>
          <w:sz w:val="28"/>
          <w:szCs w:val="28"/>
        </w:rPr>
        <w:t>Parecer exarado em 31 de março de 2021</w:t>
      </w:r>
      <w:r w:rsidR="00152301">
        <w:rPr>
          <w:rFonts w:ascii="Arial" w:eastAsia="Arial" w:hAnsi="Arial" w:cs="Arial"/>
          <w:sz w:val="28"/>
          <w:szCs w:val="28"/>
        </w:rPr>
        <w:t>.</w:t>
      </w:r>
    </w:p>
    <w:p w14:paraId="76491934" w14:textId="77777777" w:rsidR="00630A15" w:rsidRDefault="00630A15">
      <w:pPr>
        <w:jc w:val="right"/>
        <w:rPr>
          <w:rFonts w:ascii="Arial" w:eastAsia="Arial" w:hAnsi="Arial" w:cs="Arial"/>
          <w:sz w:val="28"/>
          <w:szCs w:val="28"/>
        </w:rPr>
      </w:pPr>
    </w:p>
    <w:p w14:paraId="6D58D740" w14:textId="77777777" w:rsidR="00630A15" w:rsidRDefault="00723F32">
      <w:pPr>
        <w:jc w:val="right"/>
        <w:rPr>
          <w:rFonts w:ascii="Arial" w:eastAsia="Arial" w:hAnsi="Arial" w:cs="Arial"/>
          <w:sz w:val="28"/>
          <w:szCs w:val="28"/>
        </w:rPr>
      </w:pPr>
      <w:r>
        <w:rPr>
          <w:rFonts w:ascii="Arial" w:eastAsia="Arial" w:hAnsi="Arial" w:cs="Arial"/>
          <w:sz w:val="28"/>
          <w:szCs w:val="28"/>
        </w:rPr>
        <w:t xml:space="preserve"> </w:t>
      </w:r>
    </w:p>
    <w:p w14:paraId="044699BB" w14:textId="77777777" w:rsidR="00630A15" w:rsidRDefault="00723F32">
      <w:pPr>
        <w:jc w:val="right"/>
        <w:rPr>
          <w:rFonts w:ascii="Arial" w:eastAsia="Arial" w:hAnsi="Arial" w:cs="Arial"/>
          <w:b/>
          <w:sz w:val="28"/>
          <w:szCs w:val="28"/>
        </w:rPr>
      </w:pPr>
      <w:r>
        <w:rPr>
          <w:rFonts w:ascii="Arial" w:eastAsia="Arial" w:hAnsi="Arial" w:cs="Arial"/>
          <w:b/>
          <w:sz w:val="28"/>
          <w:szCs w:val="28"/>
        </w:rPr>
        <w:t>João Roberto da Fonseca Junior</w:t>
      </w:r>
    </w:p>
    <w:p w14:paraId="23844891" w14:textId="77777777" w:rsidR="00630A15" w:rsidRDefault="00723F32">
      <w:pPr>
        <w:jc w:val="right"/>
        <w:rPr>
          <w:rFonts w:ascii="Arial" w:eastAsia="Arial" w:hAnsi="Arial" w:cs="Arial"/>
          <w:sz w:val="28"/>
          <w:szCs w:val="28"/>
        </w:rPr>
      </w:pPr>
      <w:r>
        <w:rPr>
          <w:rFonts w:ascii="Arial" w:eastAsia="Arial" w:hAnsi="Arial" w:cs="Arial"/>
          <w:sz w:val="28"/>
          <w:szCs w:val="28"/>
        </w:rPr>
        <w:t>Procurador Chefe</w:t>
      </w:r>
    </w:p>
    <w:p w14:paraId="24E0ADE8" w14:textId="77777777" w:rsidR="00630A15" w:rsidRDefault="00723F32">
      <w:pPr>
        <w:jc w:val="right"/>
        <w:rPr>
          <w:rFonts w:ascii="Arial" w:eastAsia="Arial" w:hAnsi="Arial" w:cs="Arial"/>
          <w:sz w:val="28"/>
          <w:szCs w:val="28"/>
        </w:rPr>
      </w:pPr>
      <w:r>
        <w:rPr>
          <w:rFonts w:ascii="Arial" w:eastAsia="Arial" w:hAnsi="Arial" w:cs="Arial"/>
          <w:sz w:val="28"/>
          <w:szCs w:val="28"/>
        </w:rPr>
        <w:t>OAB/RS 69.257</w:t>
      </w:r>
    </w:p>
    <w:sectPr w:rsidR="00630A15">
      <w:headerReference w:type="default" r:id="rId7"/>
      <w:pgSz w:w="11906" w:h="16838"/>
      <w:pgMar w:top="1985" w:right="1133" w:bottom="1135"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2F9FC2" w14:textId="77777777" w:rsidR="006D6FF8" w:rsidRDefault="006D6FF8">
      <w:r>
        <w:separator/>
      </w:r>
    </w:p>
  </w:endnote>
  <w:endnote w:type="continuationSeparator" w:id="0">
    <w:p w14:paraId="61A1B072" w14:textId="77777777" w:rsidR="006D6FF8" w:rsidRDefault="006D6F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0CF03B" w14:textId="77777777" w:rsidR="006D6FF8" w:rsidRDefault="006D6FF8">
      <w:r>
        <w:separator/>
      </w:r>
    </w:p>
  </w:footnote>
  <w:footnote w:type="continuationSeparator" w:id="0">
    <w:p w14:paraId="225A834F" w14:textId="77777777" w:rsidR="006D6FF8" w:rsidRDefault="006D6F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6E4367" w14:textId="77777777" w:rsidR="00630A15" w:rsidRDefault="00723F32">
    <w:pPr>
      <w:pStyle w:val="Ttulo1"/>
      <w:ind w:left="708"/>
      <w:jc w:val="center"/>
    </w:pPr>
    <w:r>
      <w:rPr>
        <w:rFonts w:ascii="Arial" w:eastAsia="Arial" w:hAnsi="Arial" w:cs="Arial"/>
        <w:b/>
        <w:noProof/>
        <w:color w:val="333333"/>
        <w:sz w:val="28"/>
        <w:szCs w:val="28"/>
      </w:rPr>
      <w:drawing>
        <wp:anchor distT="0" distB="0" distL="114300" distR="114300" simplePos="0" relativeHeight="251658240" behindDoc="0" locked="0" layoutInCell="1" hidden="0" allowOverlap="1" wp14:anchorId="319A5D76" wp14:editId="0A00499E">
          <wp:simplePos x="0" y="0"/>
          <wp:positionH relativeFrom="margin">
            <wp:posOffset>-628649</wp:posOffset>
          </wp:positionH>
          <wp:positionV relativeFrom="margin">
            <wp:posOffset>-1049654</wp:posOffset>
          </wp:positionV>
          <wp:extent cx="748030" cy="822960"/>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48030" cy="822960"/>
                  </a:xfrm>
                  <a:prstGeom prst="rect">
                    <a:avLst/>
                  </a:prstGeom>
                  <a:ln/>
                </pic:spPr>
              </pic:pic>
            </a:graphicData>
          </a:graphic>
        </wp:anchor>
      </w:drawing>
    </w:r>
    <w:r>
      <w:rPr>
        <w:rFonts w:ascii="Arial" w:eastAsia="Arial" w:hAnsi="Arial" w:cs="Arial"/>
        <w:b/>
        <w:color w:val="333333"/>
        <w:sz w:val="28"/>
        <w:szCs w:val="28"/>
      </w:rPr>
      <w:t>CÂMARA DE VEREADORES DE SAPUCAIA DO SUL</w:t>
    </w:r>
  </w:p>
  <w:p w14:paraId="391CBCCE" w14:textId="77777777" w:rsidR="00630A15" w:rsidRDefault="00723F32">
    <w:pPr>
      <w:ind w:left="708"/>
      <w:jc w:val="center"/>
      <w:rPr>
        <w:rFonts w:ascii="Arial" w:eastAsia="Arial" w:hAnsi="Arial" w:cs="Arial"/>
        <w:color w:val="333333"/>
        <w:sz w:val="20"/>
        <w:szCs w:val="20"/>
      </w:rPr>
    </w:pPr>
    <w:r>
      <w:rPr>
        <w:rFonts w:ascii="Arial" w:eastAsia="Arial" w:hAnsi="Arial" w:cs="Arial"/>
        <w:color w:val="333333"/>
        <w:sz w:val="20"/>
        <w:szCs w:val="20"/>
      </w:rPr>
      <w:t>Av. Assis Brasil, nº51, Centro, CEP 93.220-050 - Sapucaia do Sul - Rio Grande do Sul</w:t>
    </w:r>
  </w:p>
  <w:p w14:paraId="1E840461" w14:textId="77777777" w:rsidR="00630A15" w:rsidRDefault="00723F32">
    <w:pPr>
      <w:ind w:left="708"/>
      <w:jc w:val="center"/>
      <w:rPr>
        <w:rFonts w:ascii="Arial" w:eastAsia="Arial" w:hAnsi="Arial" w:cs="Arial"/>
        <w:color w:val="333333"/>
        <w:sz w:val="20"/>
        <w:szCs w:val="20"/>
      </w:rPr>
    </w:pPr>
    <w:r>
      <w:rPr>
        <w:rFonts w:ascii="Arial" w:eastAsia="Arial" w:hAnsi="Arial" w:cs="Arial"/>
        <w:color w:val="333333"/>
        <w:sz w:val="20"/>
        <w:szCs w:val="20"/>
      </w:rPr>
      <w:t>Fones (51) 3474-1887 / 3474-1226 - Fax: 3474-1081</w:t>
    </w:r>
  </w:p>
  <w:p w14:paraId="49A8B309" w14:textId="77777777" w:rsidR="00630A15" w:rsidRDefault="00630A15">
    <w:pPr>
      <w:pBdr>
        <w:top w:val="nil"/>
        <w:left w:val="nil"/>
        <w:bottom w:val="nil"/>
        <w:right w:val="nil"/>
        <w:between w:val="nil"/>
      </w:pBdr>
      <w:tabs>
        <w:tab w:val="center" w:pos="4252"/>
        <w:tab w:val="right" w:pos="8504"/>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48162F"/>
    <w:multiLevelType w:val="multilevel"/>
    <w:tmpl w:val="6646FC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0A15"/>
    <w:rsid w:val="00152301"/>
    <w:rsid w:val="00630A15"/>
    <w:rsid w:val="006D220B"/>
    <w:rsid w:val="006D6FF8"/>
    <w:rsid w:val="00723F3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DA8CB"/>
  <w15:docId w15:val="{2FE8AED8-B211-465F-8423-C73D5CBA4C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Ttulo1">
    <w:name w:val="heading 1"/>
    <w:basedOn w:val="Normal"/>
    <w:next w:val="Normal"/>
    <w:pPr>
      <w:keepNext/>
      <w:outlineLvl w:val="0"/>
    </w:pPr>
    <w:rPr>
      <w:sz w:val="36"/>
      <w:szCs w:val="36"/>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857</Words>
  <Characters>4630</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Joao Roberto da Fonseca Junior</dc:creator>
  <cp:lastModifiedBy>Joao Roberto da Fonseca Junior</cp:lastModifiedBy>
  <cp:revision>2</cp:revision>
  <dcterms:created xsi:type="dcterms:W3CDTF">2022-03-31T15:52:00Z</dcterms:created>
  <dcterms:modified xsi:type="dcterms:W3CDTF">2022-03-31T15:52:00Z</dcterms:modified>
</cp:coreProperties>
</file>