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9D727" w14:textId="3E8523B2" w:rsidR="00E11A8F" w:rsidRDefault="00E11A8F">
      <w:pPr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PLL 013/2022</w:t>
      </w:r>
    </w:p>
    <w:p w14:paraId="23DC38FD" w14:textId="32591650" w:rsidR="00BB14B2" w:rsidRDefault="00D816F4">
      <w:pPr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Processo nº:</w:t>
      </w:r>
      <w:r w:rsidR="00E11A8F">
        <w:rPr>
          <w:rFonts w:ascii="Arial" w:eastAsia="Arial" w:hAnsi="Arial" w:cs="Arial"/>
          <w:b/>
          <w:sz w:val="28"/>
          <w:szCs w:val="28"/>
        </w:rPr>
        <w:t xml:space="preserve"> 23276/2022</w:t>
      </w:r>
    </w:p>
    <w:p w14:paraId="2FF8C2AA" w14:textId="300D45A4" w:rsidR="00E11A8F" w:rsidRDefault="00D816F4">
      <w:pPr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Requerente:</w:t>
      </w:r>
      <w:r w:rsidR="00E11A8F">
        <w:rPr>
          <w:rFonts w:ascii="Arial" w:eastAsia="Arial" w:hAnsi="Arial" w:cs="Arial"/>
          <w:b/>
          <w:sz w:val="28"/>
          <w:szCs w:val="28"/>
        </w:rPr>
        <w:t xml:space="preserve"> Mesa Diretora</w:t>
      </w:r>
    </w:p>
    <w:p w14:paraId="097C158E" w14:textId="5D7BED55" w:rsidR="00BB14B2" w:rsidRDefault="00D816F4" w:rsidP="00E11A8F">
      <w:pPr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Assunto: </w:t>
      </w:r>
      <w:r w:rsidR="00E11A8F" w:rsidRPr="00E11A8F">
        <w:rPr>
          <w:rFonts w:ascii="Arial" w:hAnsi="Arial" w:cs="Arial"/>
          <w:b/>
          <w:bCs/>
          <w:i/>
          <w:iCs/>
          <w:sz w:val="28"/>
          <w:szCs w:val="28"/>
          <w:shd w:val="clear" w:color="auto" w:fill="FFFFFF"/>
        </w:rPr>
        <w:t>Concede reajuste de 10,46% (dez vírgula quarenta e seis por cento) aos vencimentos dos servidores da Câmara de Vereadores, efetivos, comissionados, inativos e pensionistas.</w:t>
      </w:r>
    </w:p>
    <w:p w14:paraId="7853B16A" w14:textId="77777777" w:rsidR="00BB14B2" w:rsidRDefault="00BB14B2">
      <w:pPr>
        <w:rPr>
          <w:rFonts w:ascii="Arial" w:eastAsia="Arial" w:hAnsi="Arial" w:cs="Arial"/>
          <w:b/>
          <w:sz w:val="28"/>
          <w:szCs w:val="28"/>
        </w:rPr>
      </w:pPr>
    </w:p>
    <w:p w14:paraId="3DCA1EA0" w14:textId="77777777" w:rsidR="00BB14B2" w:rsidRDefault="00BB14B2">
      <w:pPr>
        <w:rPr>
          <w:rFonts w:ascii="Arial" w:eastAsia="Arial" w:hAnsi="Arial" w:cs="Arial"/>
          <w:b/>
          <w:sz w:val="28"/>
          <w:szCs w:val="28"/>
        </w:rPr>
      </w:pPr>
    </w:p>
    <w:p w14:paraId="0E05C85B" w14:textId="77777777" w:rsidR="00BB14B2" w:rsidRDefault="00D816F4" w:rsidP="00E11A8F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RELATÓRIO</w:t>
      </w:r>
    </w:p>
    <w:p w14:paraId="0EE3F193" w14:textId="77777777" w:rsidR="00BB14B2" w:rsidRDefault="00BB14B2">
      <w:pPr>
        <w:rPr>
          <w:rFonts w:ascii="Arial" w:eastAsia="Arial" w:hAnsi="Arial" w:cs="Arial"/>
          <w:sz w:val="28"/>
          <w:szCs w:val="28"/>
        </w:rPr>
      </w:pPr>
    </w:p>
    <w:p w14:paraId="35C6F281" w14:textId="6855D84B" w:rsidR="00E11A8F" w:rsidRDefault="00E11A8F" w:rsidP="00E11A8F">
      <w:pPr>
        <w:ind w:firstLine="1134"/>
        <w:jc w:val="both"/>
        <w:rPr>
          <w:rFonts w:ascii="Arial" w:eastAsia="Arial" w:hAnsi="Arial" w:cs="Arial"/>
          <w:b/>
          <w:sz w:val="28"/>
          <w:szCs w:val="28"/>
        </w:rPr>
      </w:pPr>
      <w:r w:rsidRPr="00E11A8F">
        <w:rPr>
          <w:rFonts w:ascii="Arial" w:eastAsia="Arial" w:hAnsi="Arial" w:cs="Arial"/>
          <w:sz w:val="28"/>
          <w:szCs w:val="28"/>
        </w:rPr>
        <w:t xml:space="preserve">Versa o expediente sobre proposição subscrita pela Mesa Diretora desta nobre Casa Legislativa, que solicita aprovação do colendo Plenário para Projeto de Lei que: </w:t>
      </w:r>
      <w:r>
        <w:rPr>
          <w:rFonts w:ascii="Arial" w:eastAsia="Arial" w:hAnsi="Arial" w:cs="Arial"/>
          <w:sz w:val="28"/>
          <w:szCs w:val="28"/>
        </w:rPr>
        <w:t xml:space="preserve"> </w:t>
      </w:r>
      <w:r w:rsidRPr="00E11A8F">
        <w:rPr>
          <w:rFonts w:ascii="Arial" w:hAnsi="Arial" w:cs="Arial"/>
          <w:b/>
          <w:bCs/>
          <w:i/>
          <w:iCs/>
          <w:sz w:val="28"/>
          <w:szCs w:val="28"/>
          <w:shd w:val="clear" w:color="auto" w:fill="FFFFFF"/>
        </w:rPr>
        <w:t>Concede reajuste de 10,46% (dez vírgula quarenta e seis por cento) aos vencimentos dos servidores da Câmara de Vereadores, efetivos, comissionados, inativos e pensionistas.</w:t>
      </w:r>
    </w:p>
    <w:p w14:paraId="59B755D0" w14:textId="2C521029" w:rsidR="00BB14B2" w:rsidRDefault="00BB14B2">
      <w:pPr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14:paraId="7214E884" w14:textId="77777777" w:rsidR="00E11A8F" w:rsidRDefault="00E11A8F" w:rsidP="00E11A8F">
      <w:pPr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 processo tramita exclusivamente em formato digital, constam dos autos eletrônicos.</w:t>
      </w:r>
    </w:p>
    <w:p w14:paraId="27290F8F" w14:textId="77777777" w:rsidR="00E11A8F" w:rsidRDefault="00E11A8F" w:rsidP="00E11A8F">
      <w:pPr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14:paraId="6D46A14F" w14:textId="49E7EC5D" w:rsidR="00E11A8F" w:rsidRDefault="00E11A8F" w:rsidP="00E11A8F">
      <w:pPr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Conforme se vislumbra da Ata de Reunião de Mesa nº 10.963/2022, os Vereadores componentes da Mesa Diretora analisaram a situação disposta acerca da referida concessão de </w:t>
      </w:r>
      <w:r>
        <w:rPr>
          <w:rFonts w:ascii="Arial" w:eastAsia="Arial" w:hAnsi="Arial" w:cs="Arial"/>
          <w:sz w:val="28"/>
          <w:szCs w:val="28"/>
        </w:rPr>
        <w:t xml:space="preserve">reajuste </w:t>
      </w:r>
      <w:r w:rsidR="003A2F1E">
        <w:rPr>
          <w:rFonts w:ascii="Arial" w:eastAsia="Arial" w:hAnsi="Arial" w:cs="Arial"/>
          <w:sz w:val="28"/>
          <w:szCs w:val="28"/>
        </w:rPr>
        <w:t>dos vencimentos dos servidores no percentual de 10,46%</w:t>
      </w:r>
      <w:r>
        <w:rPr>
          <w:rFonts w:ascii="Arial" w:eastAsia="Arial" w:hAnsi="Arial" w:cs="Arial"/>
          <w:sz w:val="28"/>
          <w:szCs w:val="28"/>
        </w:rPr>
        <w:t>, estando devidamente respaldado com o impacto financeiro acerca da situação ora apresentada.</w:t>
      </w:r>
    </w:p>
    <w:p w14:paraId="49A75506" w14:textId="77777777" w:rsidR="00E11A8F" w:rsidRDefault="00E11A8F" w:rsidP="00E11A8F">
      <w:pPr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14:paraId="3375B4CD" w14:textId="77777777" w:rsidR="00E11A8F" w:rsidRDefault="00E11A8F" w:rsidP="00E11A8F">
      <w:pPr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Ressalte-se por oportuno que todos os Edis desta Colenda Câmara de Vereadores subscrevem o referido Projeto de Lei a ser encaminhado à deliberação Plenária.</w:t>
      </w:r>
    </w:p>
    <w:p w14:paraId="45A5EC59" w14:textId="77777777" w:rsidR="00E11A8F" w:rsidRDefault="00E11A8F" w:rsidP="00E11A8F">
      <w:pPr>
        <w:ind w:left="720"/>
        <w:jc w:val="both"/>
        <w:rPr>
          <w:rFonts w:ascii="Arial" w:eastAsia="Arial" w:hAnsi="Arial" w:cs="Arial"/>
          <w:sz w:val="28"/>
          <w:szCs w:val="28"/>
        </w:rPr>
      </w:pPr>
    </w:p>
    <w:p w14:paraId="0968DDF0" w14:textId="77777777" w:rsidR="00E11A8F" w:rsidRDefault="00E11A8F" w:rsidP="00E11A8F">
      <w:pPr>
        <w:ind w:left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Breve é o relatório.</w:t>
      </w:r>
    </w:p>
    <w:p w14:paraId="1716FE3B" w14:textId="77777777" w:rsidR="00E11A8F" w:rsidRDefault="00E11A8F" w:rsidP="00E11A8F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14:paraId="603F816B" w14:textId="77777777" w:rsidR="00BB14B2" w:rsidRDefault="00D816F4" w:rsidP="00E11A8F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PARECER</w:t>
      </w:r>
    </w:p>
    <w:p w14:paraId="7F54BD89" w14:textId="77777777" w:rsidR="00BB14B2" w:rsidRDefault="00D816F4">
      <w:pPr>
        <w:spacing w:before="240" w:after="240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 revisão geral e anual dos vencimentos e subsídios dos servidores e agentes públicos é tratada pelo art. 37, X, da CF/88, que visa assegurar a reposição do valor da moeda, que, em face do decurso de tempo. Acerca do tema, transcrevemos:</w:t>
      </w:r>
    </w:p>
    <w:p w14:paraId="70F81E89" w14:textId="77777777" w:rsidR="00BB14B2" w:rsidRDefault="00D816F4">
      <w:pPr>
        <w:spacing w:before="240" w:after="240"/>
        <w:ind w:left="2160"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“Há duas espécies </w:t>
      </w:r>
      <w:r>
        <w:rPr>
          <w:rFonts w:ascii="Arial" w:eastAsia="Arial" w:hAnsi="Arial" w:cs="Arial"/>
          <w:sz w:val="28"/>
          <w:szCs w:val="28"/>
        </w:rPr>
        <w:t xml:space="preserve">de </w:t>
      </w:r>
      <w:r>
        <w:rPr>
          <w:rFonts w:ascii="Arial" w:eastAsia="Arial" w:hAnsi="Arial" w:cs="Arial"/>
          <w:i/>
          <w:sz w:val="28"/>
          <w:szCs w:val="28"/>
        </w:rPr>
        <w:t>aumento de vencimentos:</w:t>
      </w:r>
      <w:r>
        <w:rPr>
          <w:rFonts w:ascii="Arial" w:eastAsia="Arial" w:hAnsi="Arial" w:cs="Arial"/>
          <w:sz w:val="28"/>
          <w:szCs w:val="28"/>
        </w:rPr>
        <w:t xml:space="preserve"> uma </w:t>
      </w:r>
      <w:r>
        <w:rPr>
          <w:rFonts w:ascii="Arial" w:eastAsia="Arial" w:hAnsi="Arial" w:cs="Arial"/>
          <w:i/>
          <w:sz w:val="28"/>
          <w:szCs w:val="28"/>
        </w:rPr>
        <w:t>genérica</w:t>
      </w:r>
      <w:r>
        <w:rPr>
          <w:rFonts w:ascii="Arial" w:eastAsia="Arial" w:hAnsi="Arial" w:cs="Arial"/>
          <w:sz w:val="28"/>
          <w:szCs w:val="28"/>
        </w:rPr>
        <w:t xml:space="preserve">, provocada pela alteração do poder aquisitivo da moeda, à qual poderíamos denominar </w:t>
      </w:r>
      <w:r>
        <w:rPr>
          <w:rFonts w:ascii="Arial" w:eastAsia="Arial" w:hAnsi="Arial" w:cs="Arial"/>
          <w:i/>
          <w:sz w:val="28"/>
          <w:szCs w:val="28"/>
        </w:rPr>
        <w:t>aumento impróprio</w:t>
      </w:r>
      <w:r>
        <w:rPr>
          <w:rFonts w:ascii="Arial" w:eastAsia="Arial" w:hAnsi="Arial" w:cs="Arial"/>
          <w:sz w:val="28"/>
          <w:szCs w:val="28"/>
        </w:rPr>
        <w:t xml:space="preserve">, por se tratar, na verdade, de um </w:t>
      </w:r>
      <w:r>
        <w:rPr>
          <w:rFonts w:ascii="Arial" w:eastAsia="Arial" w:hAnsi="Arial" w:cs="Arial"/>
          <w:sz w:val="28"/>
          <w:szCs w:val="28"/>
        </w:rPr>
        <w:lastRenderedPageBreak/>
        <w:t>reajustamento destinado a manter o equilíbrio da situação financeira dos servido</w:t>
      </w:r>
      <w:r>
        <w:rPr>
          <w:rFonts w:ascii="Arial" w:eastAsia="Arial" w:hAnsi="Arial" w:cs="Arial"/>
          <w:sz w:val="28"/>
          <w:szCs w:val="28"/>
        </w:rPr>
        <w:t xml:space="preserve">res públicos; e outra </w:t>
      </w:r>
      <w:r>
        <w:rPr>
          <w:rFonts w:ascii="Arial" w:eastAsia="Arial" w:hAnsi="Arial" w:cs="Arial"/>
          <w:i/>
          <w:sz w:val="28"/>
          <w:szCs w:val="28"/>
        </w:rPr>
        <w:t>específica</w:t>
      </w:r>
      <w:r>
        <w:rPr>
          <w:rFonts w:ascii="Arial" w:eastAsia="Arial" w:hAnsi="Arial" w:cs="Arial"/>
          <w:sz w:val="28"/>
          <w:szCs w:val="28"/>
        </w:rPr>
        <w:t>, geralmente feita à margem da lei que concede o aumento geral, abrangendo determinados cargos ou classes funcionais e representando realmente uma elevação de vencimentos, por se fazer em índices não proporcionais ao do decr</w:t>
      </w:r>
      <w:r>
        <w:rPr>
          <w:rFonts w:ascii="Arial" w:eastAsia="Arial" w:hAnsi="Arial" w:cs="Arial"/>
          <w:sz w:val="28"/>
          <w:szCs w:val="28"/>
        </w:rPr>
        <w:t>éscimo do poder aquisitivo.</w:t>
      </w:r>
    </w:p>
    <w:p w14:paraId="79B87204" w14:textId="77777777" w:rsidR="00BB14B2" w:rsidRDefault="00D816F4">
      <w:pPr>
        <w:spacing w:before="240" w:after="24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No tocante à primeira espécie, a parte final do Inc. X do art. 37, na redação da EC 19, assegura ‘revisão geral anual, sempre na mesma data e sem distinção de índices’, dos vencimentos e dos subsídios. A revisão já era prevista</w:t>
      </w:r>
      <w:r>
        <w:rPr>
          <w:rFonts w:ascii="Arial" w:eastAsia="Arial" w:hAnsi="Arial" w:cs="Arial"/>
          <w:sz w:val="28"/>
          <w:szCs w:val="28"/>
        </w:rPr>
        <w:t xml:space="preserve"> pela mesma norma na sua antiga redação, que, todavia, não a assegurava. Agora, no entanto, na medida em que o dispositivo diz que a revisão é ‘assegurada’, trata-se de verdadeiro direito subjetivo do servidor e do agente político, a ser anualmente respeit</w:t>
      </w:r>
      <w:r>
        <w:rPr>
          <w:rFonts w:ascii="Arial" w:eastAsia="Arial" w:hAnsi="Arial" w:cs="Arial"/>
          <w:sz w:val="28"/>
          <w:szCs w:val="28"/>
        </w:rPr>
        <w:t>ado e atendido pelo emprego do índice que for adotado, o qual, à evidência, sob pena de fraude à Constituição e imoralidade, não pode deixar de assegurar a revisão. Tais considerações é que nos levaram a entender que, agora, a Constituição assegura a irred</w:t>
      </w:r>
      <w:r>
        <w:rPr>
          <w:rFonts w:ascii="Arial" w:eastAsia="Arial" w:hAnsi="Arial" w:cs="Arial"/>
          <w:sz w:val="28"/>
          <w:szCs w:val="28"/>
        </w:rPr>
        <w:t xml:space="preserve">utibilidade </w:t>
      </w:r>
      <w:r>
        <w:rPr>
          <w:rFonts w:ascii="Arial" w:eastAsia="Arial" w:hAnsi="Arial" w:cs="Arial"/>
          <w:i/>
          <w:sz w:val="28"/>
          <w:szCs w:val="28"/>
        </w:rPr>
        <w:t xml:space="preserve">real, </w:t>
      </w:r>
      <w:r>
        <w:rPr>
          <w:rFonts w:ascii="Arial" w:eastAsia="Arial" w:hAnsi="Arial" w:cs="Arial"/>
          <w:sz w:val="28"/>
          <w:szCs w:val="28"/>
        </w:rPr>
        <w:t xml:space="preserve">e não apenas </w:t>
      </w:r>
      <w:r>
        <w:rPr>
          <w:rFonts w:ascii="Arial" w:eastAsia="Arial" w:hAnsi="Arial" w:cs="Arial"/>
          <w:i/>
          <w:sz w:val="28"/>
          <w:szCs w:val="28"/>
        </w:rPr>
        <w:t>nominal,</w:t>
      </w:r>
      <w:r>
        <w:rPr>
          <w:rFonts w:ascii="Arial" w:eastAsia="Arial" w:hAnsi="Arial" w:cs="Arial"/>
          <w:sz w:val="28"/>
          <w:szCs w:val="28"/>
        </w:rPr>
        <w:t xml:space="preserve"> da remuneração. Este aumento não obsta, como se verá a seguir, ao aumento impróprio.</w:t>
      </w:r>
    </w:p>
    <w:p w14:paraId="33FAF439" w14:textId="77777777" w:rsidR="00BB14B2" w:rsidRDefault="00D816F4">
      <w:pPr>
        <w:spacing w:before="240" w:after="24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(in: MEIRELLES, Hely Lopes. Direito administrativo brasileiro. 42. Ed. / atual. até a Emenda Constitucional 90, de 15.9.2015. – São</w:t>
      </w:r>
      <w:r>
        <w:rPr>
          <w:rFonts w:ascii="Arial" w:eastAsia="Arial" w:hAnsi="Arial" w:cs="Arial"/>
          <w:sz w:val="28"/>
          <w:szCs w:val="28"/>
        </w:rPr>
        <w:t xml:space="preserve"> Paulo: Malheiros, 2016). P. 598-599</w:t>
      </w:r>
    </w:p>
    <w:p w14:paraId="3D77F06B" w14:textId="77777777" w:rsidR="00BB14B2" w:rsidRDefault="00BB14B2">
      <w:pPr>
        <w:spacing w:before="240" w:after="24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14:paraId="3D4F1E2D" w14:textId="77777777" w:rsidR="00BB14B2" w:rsidRDefault="00D816F4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Como vimos, o reajustamento proposto nesses termos tem o escopo tão somente de</w:t>
      </w:r>
      <w:r>
        <w:rPr>
          <w:rFonts w:ascii="Arial" w:eastAsia="Arial" w:hAnsi="Arial" w:cs="Arial"/>
          <w:i/>
          <w:sz w:val="28"/>
          <w:szCs w:val="28"/>
        </w:rPr>
        <w:t xml:space="preserve"> manter o equilíbrio da situação financeira dos servidores públicos</w:t>
      </w:r>
      <w:r>
        <w:rPr>
          <w:rFonts w:ascii="Arial" w:eastAsia="Arial" w:hAnsi="Arial" w:cs="Arial"/>
          <w:sz w:val="28"/>
          <w:szCs w:val="28"/>
        </w:rPr>
        <w:t>, se tratando, portanto, de garantia constitucional de irredutibilidade de vencimentos. Essa proteção integra a esfera de direitos subjetivos do funcionalismo.</w:t>
      </w:r>
    </w:p>
    <w:p w14:paraId="1F456E01" w14:textId="0F5CD0AE" w:rsidR="00BB14B2" w:rsidRDefault="00E11A8F" w:rsidP="003A2F1E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O referido Projeto de Lei Legislativo encontra-se </w:t>
      </w:r>
      <w:r w:rsidR="003A2F1E">
        <w:rPr>
          <w:rFonts w:ascii="Arial" w:eastAsia="Arial" w:hAnsi="Arial" w:cs="Arial"/>
          <w:sz w:val="28"/>
          <w:szCs w:val="28"/>
        </w:rPr>
        <w:t xml:space="preserve">acompanhado de </w:t>
      </w:r>
      <w:r w:rsidR="00D816F4">
        <w:rPr>
          <w:rFonts w:ascii="Arial" w:eastAsia="Arial" w:hAnsi="Arial" w:cs="Arial"/>
          <w:sz w:val="28"/>
          <w:szCs w:val="28"/>
        </w:rPr>
        <w:t>impacto financeiro</w:t>
      </w:r>
      <w:r w:rsidR="003A2F1E">
        <w:rPr>
          <w:rFonts w:ascii="Arial" w:eastAsia="Arial" w:hAnsi="Arial" w:cs="Arial"/>
          <w:sz w:val="28"/>
          <w:szCs w:val="28"/>
        </w:rPr>
        <w:t xml:space="preserve"> subscrito com o Diretor de Finanças.</w:t>
      </w:r>
    </w:p>
    <w:p w14:paraId="76BE6332" w14:textId="00F07A04" w:rsidR="003A2F1E" w:rsidRDefault="003A2F1E" w:rsidP="003A2F1E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14:paraId="35799EC6" w14:textId="77777777" w:rsidR="003A2F1E" w:rsidRDefault="003A2F1E" w:rsidP="003A2F1E">
      <w:pPr>
        <w:spacing w:before="240" w:line="276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Ademais, no que tange à dita proposição apresentada pela Mesa Diretora, esta Procuradoria expõe e ressalta o art. 127, §2º do Regimento Interno desta Casa, o qual: </w:t>
      </w:r>
      <w:r w:rsidRPr="00A009EE">
        <w:rPr>
          <w:rFonts w:ascii="Arial" w:eastAsia="Arial" w:hAnsi="Arial" w:cs="Arial"/>
          <w:i/>
          <w:iCs/>
          <w:sz w:val="28"/>
          <w:szCs w:val="28"/>
        </w:rPr>
        <w:t>“os projetos originários, elaborados pela Mesa ou por Comissão Permanente ou Especial em assuntos de sua Competência, dispensarão parecer para sua apreciação pelo Plenário.</w:t>
      </w:r>
    </w:p>
    <w:p w14:paraId="15CCD867" w14:textId="77777777" w:rsidR="003A2F1E" w:rsidRDefault="003A2F1E" w:rsidP="003A2F1E">
      <w:pPr>
        <w:spacing w:before="240" w:line="276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Diante disso, verificamos que, os projetos originários da Mesa Diretora dispensam pareceres das comissões, sendo então remetidos diretamente para apreciação do Plenário.</w:t>
      </w:r>
    </w:p>
    <w:p w14:paraId="6E96A7B4" w14:textId="77777777" w:rsidR="003A2F1E" w:rsidRDefault="003A2F1E" w:rsidP="003A2F1E">
      <w:pPr>
        <w:spacing w:before="240" w:line="276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Com as anotações de estilo, opinamos no sentido do prosseguimento do processo ao conhecimento do Presidente desta Casa Legislativa para deliberação em Plenário.</w:t>
      </w:r>
    </w:p>
    <w:p w14:paraId="24AC9EC0" w14:textId="77777777" w:rsidR="003A2F1E" w:rsidRDefault="003A2F1E" w:rsidP="003A2F1E">
      <w:pPr>
        <w:spacing w:before="240" w:line="276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É o parecer.</w:t>
      </w:r>
    </w:p>
    <w:p w14:paraId="0D52F70E" w14:textId="77777777" w:rsidR="003A2F1E" w:rsidRDefault="003A2F1E" w:rsidP="003A2F1E">
      <w:pPr>
        <w:spacing w:before="240" w:line="276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</w:p>
    <w:p w14:paraId="42DC9C9E" w14:textId="77777777" w:rsidR="003A2F1E" w:rsidRDefault="003A2F1E" w:rsidP="003A2F1E">
      <w:pPr>
        <w:spacing w:before="240" w:line="276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Sapucaia do Sul, 20 de abril de 2022.</w:t>
      </w:r>
    </w:p>
    <w:p w14:paraId="24712CA5" w14:textId="77777777" w:rsidR="003A2F1E" w:rsidRDefault="003A2F1E" w:rsidP="003A2F1E">
      <w:pPr>
        <w:spacing w:before="240" w:line="276" w:lineRule="auto"/>
        <w:jc w:val="center"/>
        <w:rPr>
          <w:rFonts w:ascii="Arial" w:eastAsia="Arial" w:hAnsi="Arial" w:cs="Arial"/>
          <w:sz w:val="28"/>
          <w:szCs w:val="28"/>
        </w:rPr>
      </w:pPr>
    </w:p>
    <w:p w14:paraId="24CA8837" w14:textId="77777777" w:rsidR="003A2F1E" w:rsidRPr="006023E6" w:rsidRDefault="003A2F1E" w:rsidP="003A2F1E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  <w:r w:rsidRPr="006023E6">
        <w:rPr>
          <w:rFonts w:ascii="Arial" w:eastAsia="Arial" w:hAnsi="Arial" w:cs="Arial"/>
          <w:b/>
          <w:bCs/>
          <w:sz w:val="28"/>
          <w:szCs w:val="28"/>
        </w:rPr>
        <w:t>João Roberto da Fonseca Junior</w:t>
      </w:r>
    </w:p>
    <w:p w14:paraId="08D86A65" w14:textId="77777777" w:rsidR="003A2F1E" w:rsidRPr="006023E6" w:rsidRDefault="003A2F1E" w:rsidP="003A2F1E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  <w:r w:rsidRPr="006023E6">
        <w:rPr>
          <w:rFonts w:ascii="Arial" w:eastAsia="Arial" w:hAnsi="Arial" w:cs="Arial"/>
          <w:b/>
          <w:bCs/>
          <w:sz w:val="28"/>
          <w:szCs w:val="28"/>
        </w:rPr>
        <w:t>Procurador Chefe</w:t>
      </w:r>
    </w:p>
    <w:p w14:paraId="717651F2" w14:textId="77777777" w:rsidR="003A2F1E" w:rsidRPr="006023E6" w:rsidRDefault="003A2F1E" w:rsidP="003A2F1E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  <w:r w:rsidRPr="006023E6">
        <w:rPr>
          <w:rFonts w:ascii="Arial" w:eastAsia="Arial" w:hAnsi="Arial" w:cs="Arial"/>
          <w:b/>
          <w:bCs/>
          <w:sz w:val="28"/>
          <w:szCs w:val="28"/>
        </w:rPr>
        <w:t>OAB/RS 69.257</w:t>
      </w:r>
    </w:p>
    <w:p w14:paraId="2485A0E1" w14:textId="77777777" w:rsidR="003A2F1E" w:rsidRDefault="003A2F1E" w:rsidP="003A2F1E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14:paraId="4599E50B" w14:textId="77777777" w:rsidR="00BB14B2" w:rsidRDefault="00BB14B2">
      <w:pPr>
        <w:spacing w:before="240" w:line="276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</w:p>
    <w:sectPr w:rsidR="00BB14B2">
      <w:headerReference w:type="default" r:id="rId6"/>
      <w:pgSz w:w="11906" w:h="16838"/>
      <w:pgMar w:top="1985" w:right="1133" w:bottom="833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244870" w14:textId="77777777" w:rsidR="00D816F4" w:rsidRDefault="00D816F4">
      <w:r>
        <w:separator/>
      </w:r>
    </w:p>
  </w:endnote>
  <w:endnote w:type="continuationSeparator" w:id="0">
    <w:p w14:paraId="25CADBC4" w14:textId="77777777" w:rsidR="00D816F4" w:rsidRDefault="00D81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65AE5" w14:textId="77777777" w:rsidR="00D816F4" w:rsidRDefault="00D816F4">
      <w:r>
        <w:separator/>
      </w:r>
    </w:p>
  </w:footnote>
  <w:footnote w:type="continuationSeparator" w:id="0">
    <w:p w14:paraId="3127D02A" w14:textId="77777777" w:rsidR="00D816F4" w:rsidRDefault="00D816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7B6EE" w14:textId="77777777" w:rsidR="00BB14B2" w:rsidRDefault="00D816F4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hidden="0" allowOverlap="1" wp14:anchorId="0132E5A3" wp14:editId="18A05870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14:paraId="26919603" w14:textId="77777777" w:rsidR="00BB14B2" w:rsidRDefault="00D816F4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14:paraId="3A34CADB" w14:textId="77777777" w:rsidR="00BB14B2" w:rsidRDefault="00D816F4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14:paraId="1656FE44" w14:textId="77777777" w:rsidR="00BB14B2" w:rsidRDefault="00BB14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4B2"/>
    <w:rsid w:val="003A2F1E"/>
    <w:rsid w:val="00BB14B2"/>
    <w:rsid w:val="00D816F4"/>
    <w:rsid w:val="00E11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4A382"/>
  <w15:docId w15:val="{95E5A4C2-32FD-4379-8950-B82BEC12D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662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2022-04-20T16:41:00Z</dcterms:created>
  <dcterms:modified xsi:type="dcterms:W3CDTF">2022-04-20T16:41:00Z</dcterms:modified>
</cp:coreProperties>
</file>