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1FE" w:rsidRPr="002201AC" w:rsidRDefault="008C2586" w:rsidP="002201AC">
      <w:pPr>
        <w:jc w:val="both"/>
        <w:rPr>
          <w:rFonts w:ascii="Arial" w:eastAsia="Arial" w:hAnsi="Arial" w:cs="Arial"/>
          <w:b/>
        </w:rPr>
      </w:pPr>
      <w:r w:rsidRPr="002201AC">
        <w:rPr>
          <w:rFonts w:ascii="Arial" w:eastAsia="Arial" w:hAnsi="Arial" w:cs="Arial"/>
          <w:b/>
        </w:rPr>
        <w:t>EM 001/2023</w:t>
      </w:r>
    </w:p>
    <w:p w:rsidR="002D01FE" w:rsidRPr="002201AC" w:rsidRDefault="008C2586" w:rsidP="002201AC">
      <w:pPr>
        <w:jc w:val="both"/>
        <w:rPr>
          <w:rFonts w:ascii="Arial" w:eastAsia="Arial" w:hAnsi="Arial" w:cs="Arial"/>
          <w:b/>
        </w:rPr>
      </w:pPr>
      <w:r w:rsidRPr="002201AC">
        <w:rPr>
          <w:rFonts w:ascii="Arial" w:eastAsia="Arial" w:hAnsi="Arial" w:cs="Arial"/>
          <w:b/>
        </w:rPr>
        <w:t>Mensagem nº 010/2023</w:t>
      </w:r>
      <w:r w:rsidRPr="002201AC">
        <w:rPr>
          <w:rFonts w:ascii="Arial" w:eastAsia="Arial" w:hAnsi="Arial" w:cs="Arial"/>
          <w:b/>
        </w:rPr>
        <w:tab/>
      </w:r>
    </w:p>
    <w:p w:rsidR="002201AC" w:rsidRPr="002201AC" w:rsidRDefault="002201AC" w:rsidP="002201AC">
      <w:pPr>
        <w:jc w:val="both"/>
        <w:rPr>
          <w:rFonts w:ascii="Arial" w:eastAsia="Arial" w:hAnsi="Arial" w:cs="Arial"/>
          <w:b/>
        </w:rPr>
      </w:pPr>
      <w:r w:rsidRPr="002201AC">
        <w:rPr>
          <w:rFonts w:ascii="Arial" w:eastAsia="Arial" w:hAnsi="Arial" w:cs="Arial"/>
          <w:b/>
        </w:rPr>
        <w:t>Proc. 24674/2023</w:t>
      </w:r>
    </w:p>
    <w:p w:rsidR="002D01FE" w:rsidRPr="002201AC" w:rsidRDefault="00E95FF1" w:rsidP="002201AC">
      <w:pPr>
        <w:jc w:val="both"/>
        <w:rPr>
          <w:rFonts w:ascii="Arial" w:eastAsia="Arial" w:hAnsi="Arial" w:cs="Arial"/>
          <w:b/>
        </w:rPr>
      </w:pPr>
      <w:r w:rsidRPr="002201AC">
        <w:rPr>
          <w:rFonts w:ascii="Arial" w:eastAsia="Arial" w:hAnsi="Arial" w:cs="Arial"/>
          <w:b/>
        </w:rPr>
        <w:t>Proponente: Poder Executivo Municipal</w:t>
      </w:r>
    </w:p>
    <w:p w:rsidR="002D01FE" w:rsidRPr="002201AC" w:rsidRDefault="00E95FF1" w:rsidP="002201AC">
      <w:pPr>
        <w:jc w:val="both"/>
        <w:rPr>
          <w:rFonts w:ascii="Arial" w:eastAsia="Arial" w:hAnsi="Arial" w:cs="Arial"/>
        </w:rPr>
      </w:pPr>
      <w:r w:rsidRPr="002201AC">
        <w:rPr>
          <w:rFonts w:ascii="Arial" w:eastAsia="Arial" w:hAnsi="Arial" w:cs="Arial"/>
          <w:b/>
        </w:rPr>
        <w:t xml:space="preserve">Regime de tramitação: </w:t>
      </w:r>
      <w:r w:rsidR="008C2586" w:rsidRPr="002201AC">
        <w:rPr>
          <w:rFonts w:ascii="Arial" w:eastAsia="Arial" w:hAnsi="Arial" w:cs="Arial"/>
        </w:rPr>
        <w:t>22/03/2023</w:t>
      </w:r>
    </w:p>
    <w:p w:rsidR="002D01FE" w:rsidRPr="002201AC" w:rsidRDefault="002D01FE" w:rsidP="002201AC">
      <w:pPr>
        <w:jc w:val="both"/>
        <w:rPr>
          <w:rFonts w:ascii="Arial" w:eastAsia="Arial" w:hAnsi="Arial" w:cs="Arial"/>
        </w:rPr>
      </w:pPr>
    </w:p>
    <w:p w:rsidR="002D01FE" w:rsidRPr="002201AC" w:rsidRDefault="00E95FF1" w:rsidP="002201AC">
      <w:pPr>
        <w:jc w:val="center"/>
        <w:rPr>
          <w:rFonts w:ascii="Arial" w:eastAsia="Arial" w:hAnsi="Arial" w:cs="Arial"/>
          <w:sz w:val="28"/>
        </w:rPr>
      </w:pPr>
      <w:r w:rsidRPr="002201AC">
        <w:rPr>
          <w:rFonts w:ascii="Arial" w:eastAsia="Arial" w:hAnsi="Arial" w:cs="Arial"/>
          <w:b/>
          <w:sz w:val="28"/>
        </w:rPr>
        <w:t>RELATÓRIO</w:t>
      </w:r>
    </w:p>
    <w:p w:rsidR="002D01FE" w:rsidRPr="002201AC" w:rsidRDefault="002D01FE" w:rsidP="002201AC">
      <w:pPr>
        <w:jc w:val="both"/>
        <w:rPr>
          <w:rFonts w:ascii="Arial" w:eastAsia="Arial" w:hAnsi="Arial" w:cs="Arial"/>
        </w:rPr>
      </w:pPr>
    </w:p>
    <w:p w:rsidR="008C2586" w:rsidRPr="002201AC" w:rsidRDefault="00E95FF1" w:rsidP="002201AC">
      <w:pPr>
        <w:jc w:val="both"/>
        <w:rPr>
          <w:rFonts w:ascii="Arial" w:eastAsia="Arial" w:hAnsi="Arial" w:cs="Arial"/>
        </w:rPr>
      </w:pPr>
      <w:r w:rsidRPr="002201AC">
        <w:rPr>
          <w:rFonts w:ascii="Arial" w:eastAsia="Arial" w:hAnsi="Arial" w:cs="Arial"/>
        </w:rPr>
        <w:tab/>
        <w:t xml:space="preserve">Trata-se de mensagem de origem do Poder Executivo Municipal, cujo mérito solicita aprovação do Colendo Plenário para EMENDA MODIFICATIVA ao Projeto de Lei em epígrafe, com a finalidade de </w:t>
      </w:r>
      <w:r w:rsidRPr="002201AC">
        <w:rPr>
          <w:rFonts w:ascii="Arial" w:eastAsia="Arial" w:hAnsi="Arial" w:cs="Arial"/>
          <w:b/>
          <w:i/>
        </w:rPr>
        <w:t>“</w:t>
      </w:r>
      <w:r w:rsidR="002201AC" w:rsidRPr="002201AC">
        <w:rPr>
          <w:rFonts w:ascii="Arial" w:eastAsia="Arial" w:hAnsi="Arial" w:cs="Arial"/>
          <w:b/>
          <w:i/>
        </w:rPr>
        <w:t>A</w:t>
      </w:r>
      <w:r w:rsidR="002201AC" w:rsidRPr="002201AC">
        <w:rPr>
          <w:rFonts w:ascii="Arial" w:hAnsi="Arial" w:cs="Arial"/>
          <w:b/>
          <w:i/>
          <w:shd w:val="clear" w:color="auto" w:fill="FFFFFF"/>
        </w:rPr>
        <w:t>UTORIZA O PODER EXECUTIVO A CONTRATAR OPERAÇÃO DE CRÉDITO COM A CAIXA ECONÔMICA FEDERAL NO ÂMBITO DA LINHA DE FINANCIAMENTO À INFRAESTRUTURA E AO SANEAMENTO (FINISA)</w:t>
      </w:r>
      <w:r w:rsidRPr="002201AC">
        <w:rPr>
          <w:rFonts w:ascii="Arial" w:eastAsia="Arial" w:hAnsi="Arial" w:cs="Arial"/>
          <w:b/>
          <w:i/>
        </w:rPr>
        <w:t>”.</w:t>
      </w:r>
      <w:r w:rsidRPr="002201AC">
        <w:rPr>
          <w:rFonts w:ascii="Arial" w:eastAsia="Arial" w:hAnsi="Arial" w:cs="Arial"/>
        </w:rPr>
        <w:t xml:space="preserve"> </w:t>
      </w:r>
    </w:p>
    <w:p w:rsidR="008C2586" w:rsidRPr="002201AC" w:rsidRDefault="008C2586" w:rsidP="002201AC">
      <w:pPr>
        <w:jc w:val="both"/>
        <w:rPr>
          <w:rFonts w:ascii="Arial" w:eastAsia="Arial" w:hAnsi="Arial" w:cs="Arial"/>
        </w:rPr>
      </w:pPr>
    </w:p>
    <w:p w:rsidR="002D01FE" w:rsidRPr="002201AC" w:rsidRDefault="00E95FF1" w:rsidP="002201AC">
      <w:pPr>
        <w:spacing w:line="360" w:lineRule="auto"/>
        <w:ind w:firstLine="709"/>
        <w:jc w:val="both"/>
        <w:rPr>
          <w:rFonts w:ascii="Arial" w:eastAsia="Arial" w:hAnsi="Arial" w:cs="Arial"/>
        </w:rPr>
      </w:pPr>
      <w:r w:rsidRPr="002201AC">
        <w:rPr>
          <w:rFonts w:ascii="Arial" w:eastAsia="Arial" w:hAnsi="Arial" w:cs="Arial"/>
        </w:rPr>
        <w:t>Constam dos autos eletrônicos os seguintes documentos:</w:t>
      </w:r>
    </w:p>
    <w:p w:rsidR="002D01FE" w:rsidRPr="002201AC" w:rsidRDefault="002D01FE" w:rsidP="002201AC">
      <w:pPr>
        <w:spacing w:line="360" w:lineRule="auto"/>
        <w:ind w:firstLine="709"/>
        <w:jc w:val="both"/>
        <w:rPr>
          <w:rFonts w:ascii="Arial" w:eastAsia="Arial" w:hAnsi="Arial" w:cs="Arial"/>
        </w:rPr>
      </w:pPr>
    </w:p>
    <w:p w:rsidR="008C2586" w:rsidRPr="002201AC" w:rsidRDefault="008C2586" w:rsidP="002201AC">
      <w:pPr>
        <w:spacing w:line="360" w:lineRule="auto"/>
        <w:ind w:firstLine="709"/>
        <w:jc w:val="both"/>
        <w:rPr>
          <w:rFonts w:ascii="Arial" w:eastAsia="Arial" w:hAnsi="Arial" w:cs="Arial"/>
        </w:rPr>
      </w:pPr>
      <w:r w:rsidRPr="002201AC">
        <w:rPr>
          <w:rFonts w:ascii="Arial" w:eastAsia="Arial" w:hAnsi="Arial" w:cs="Arial"/>
        </w:rPr>
        <w:t xml:space="preserve">A </w:t>
      </w:r>
      <w:r w:rsidRPr="002201AC">
        <w:rPr>
          <w:rFonts w:ascii="Arial" w:eastAsia="Arial" w:hAnsi="Arial" w:cs="Arial"/>
        </w:rPr>
        <w:t>emenda aditiva para que seja adicionado à</w:t>
      </w:r>
      <w:r w:rsidRPr="002201AC">
        <w:rPr>
          <w:rFonts w:ascii="Arial" w:eastAsia="Arial" w:hAnsi="Arial" w:cs="Arial"/>
        </w:rPr>
        <w:t xml:space="preserve"> Mensagem no. 10/2023, o Art. 2º</w:t>
      </w:r>
      <w:r w:rsidRPr="002201AC">
        <w:rPr>
          <w:rFonts w:ascii="Arial" w:eastAsia="Arial" w:hAnsi="Arial" w:cs="Arial"/>
        </w:rPr>
        <w:t>-A</w:t>
      </w:r>
      <w:r w:rsidRPr="002201AC">
        <w:rPr>
          <w:rFonts w:ascii="Arial" w:eastAsia="Arial" w:hAnsi="Arial" w:cs="Arial"/>
        </w:rPr>
        <w:t xml:space="preserve"> </w:t>
      </w:r>
      <w:r w:rsidRPr="002201AC">
        <w:rPr>
          <w:rFonts w:ascii="Arial" w:eastAsia="Arial" w:hAnsi="Arial" w:cs="Arial"/>
        </w:rPr>
        <w:t>que passa a viger com a seguinte redação:</w:t>
      </w:r>
    </w:p>
    <w:p w:rsidR="008C2586" w:rsidRPr="002201AC" w:rsidRDefault="008C2586" w:rsidP="002201AC">
      <w:pPr>
        <w:ind w:left="720"/>
        <w:jc w:val="both"/>
        <w:rPr>
          <w:rFonts w:ascii="Arial" w:eastAsia="Arial" w:hAnsi="Arial" w:cs="Arial"/>
        </w:rPr>
      </w:pPr>
    </w:p>
    <w:p w:rsidR="002D01FE" w:rsidRPr="002201AC" w:rsidRDefault="008C2586" w:rsidP="002201AC">
      <w:pPr>
        <w:tabs>
          <w:tab w:val="left" w:pos="2835"/>
        </w:tabs>
        <w:ind w:left="2835"/>
        <w:jc w:val="both"/>
        <w:rPr>
          <w:rFonts w:ascii="Arial" w:eastAsia="Arial" w:hAnsi="Arial" w:cs="Arial"/>
          <w:b/>
          <w:i/>
        </w:rPr>
      </w:pPr>
      <w:r w:rsidRPr="002201AC">
        <w:rPr>
          <w:rFonts w:ascii="Arial" w:eastAsia="Arial" w:hAnsi="Arial" w:cs="Arial"/>
          <w:b/>
          <w:i/>
        </w:rPr>
        <w:t>“Art. 2º</w:t>
      </w:r>
      <w:r w:rsidRPr="002201AC">
        <w:rPr>
          <w:rFonts w:ascii="Arial" w:eastAsia="Arial" w:hAnsi="Arial" w:cs="Arial"/>
          <w:b/>
          <w:i/>
        </w:rPr>
        <w:t>-</w:t>
      </w:r>
      <w:r w:rsidRPr="002201AC">
        <w:rPr>
          <w:rFonts w:ascii="Arial" w:eastAsia="Arial" w:hAnsi="Arial" w:cs="Arial"/>
          <w:b/>
          <w:i/>
        </w:rPr>
        <w:t xml:space="preserve"> </w:t>
      </w:r>
      <w:r w:rsidRPr="002201AC">
        <w:rPr>
          <w:rFonts w:ascii="Arial" w:eastAsia="Arial" w:hAnsi="Arial" w:cs="Arial"/>
          <w:b/>
          <w:i/>
        </w:rPr>
        <w:t>A</w:t>
      </w:r>
      <w:r w:rsidRPr="002201AC">
        <w:rPr>
          <w:rFonts w:ascii="Arial" w:eastAsia="Arial" w:hAnsi="Arial" w:cs="Arial"/>
          <w:b/>
          <w:i/>
        </w:rPr>
        <w:t>.</w:t>
      </w:r>
      <w:r w:rsidRPr="002201AC">
        <w:rPr>
          <w:rFonts w:ascii="Arial" w:eastAsia="Arial" w:hAnsi="Arial" w:cs="Arial"/>
          <w:b/>
          <w:i/>
        </w:rPr>
        <w:t xml:space="preserve"> Autoriza o Poder Executivo a ceder ou vincular em garantia da</w:t>
      </w:r>
      <w:r w:rsidRPr="002201AC">
        <w:rPr>
          <w:rFonts w:ascii="Arial" w:eastAsia="Arial" w:hAnsi="Arial" w:cs="Arial"/>
          <w:b/>
          <w:i/>
        </w:rPr>
        <w:t xml:space="preserve"> </w:t>
      </w:r>
      <w:r w:rsidRPr="002201AC">
        <w:rPr>
          <w:rFonts w:ascii="Arial" w:eastAsia="Arial" w:hAnsi="Arial" w:cs="Arial"/>
          <w:b/>
          <w:i/>
        </w:rPr>
        <w:t>operação de crédito de que trata esta Lei, em caráter irrevogável e irretratável,</w:t>
      </w:r>
      <w:r w:rsidRPr="002201AC">
        <w:rPr>
          <w:rFonts w:ascii="Arial" w:eastAsia="Arial" w:hAnsi="Arial" w:cs="Arial"/>
          <w:b/>
          <w:i/>
        </w:rPr>
        <w:t xml:space="preserve"> </w:t>
      </w:r>
      <w:r w:rsidRPr="002201AC">
        <w:rPr>
          <w:rFonts w:ascii="Arial" w:eastAsia="Arial" w:hAnsi="Arial" w:cs="Arial"/>
          <w:b/>
          <w:i/>
        </w:rPr>
        <w:t>a modo “</w:t>
      </w:r>
      <w:proofErr w:type="gramStart"/>
      <w:r w:rsidRPr="002201AC">
        <w:rPr>
          <w:rFonts w:ascii="Arial" w:eastAsia="Arial" w:hAnsi="Arial" w:cs="Arial"/>
          <w:b/>
          <w:i/>
        </w:rPr>
        <w:t>pro solvendo</w:t>
      </w:r>
      <w:proofErr w:type="gramEnd"/>
      <w:r w:rsidRPr="002201AC">
        <w:rPr>
          <w:rFonts w:ascii="Arial" w:eastAsia="Arial" w:hAnsi="Arial" w:cs="Arial"/>
          <w:b/>
          <w:i/>
        </w:rPr>
        <w:t>”, as receitas e quotas de repartição constitucional,</w:t>
      </w:r>
      <w:r w:rsidRPr="002201AC">
        <w:rPr>
          <w:rFonts w:ascii="Arial" w:eastAsia="Arial" w:hAnsi="Arial" w:cs="Arial"/>
          <w:b/>
          <w:i/>
        </w:rPr>
        <w:t xml:space="preserve"> </w:t>
      </w:r>
      <w:r w:rsidRPr="002201AC">
        <w:rPr>
          <w:rFonts w:ascii="Arial" w:eastAsia="Arial" w:hAnsi="Arial" w:cs="Arial"/>
          <w:b/>
          <w:i/>
        </w:rPr>
        <w:t>relativas ao Fundo de Participação dos Municípios – FPM, e/ou Impostos de</w:t>
      </w:r>
      <w:r w:rsidRPr="002201AC">
        <w:rPr>
          <w:rFonts w:ascii="Arial" w:eastAsia="Arial" w:hAnsi="Arial" w:cs="Arial"/>
          <w:b/>
          <w:i/>
        </w:rPr>
        <w:t xml:space="preserve"> </w:t>
      </w:r>
      <w:r w:rsidRPr="002201AC">
        <w:rPr>
          <w:rFonts w:ascii="Arial" w:eastAsia="Arial" w:hAnsi="Arial" w:cs="Arial"/>
          <w:b/>
          <w:i/>
        </w:rPr>
        <w:t>Circulação de Mercadorias – ICMS, conforme estabelecido no art. 158, nas</w:t>
      </w:r>
      <w:r w:rsidR="002201AC">
        <w:rPr>
          <w:rFonts w:ascii="Arial" w:eastAsia="Arial" w:hAnsi="Arial" w:cs="Arial"/>
          <w:b/>
          <w:i/>
        </w:rPr>
        <w:t xml:space="preserve"> </w:t>
      </w:r>
      <w:r w:rsidRPr="002201AC">
        <w:rPr>
          <w:rFonts w:ascii="Arial" w:eastAsia="Arial" w:hAnsi="Arial" w:cs="Arial"/>
          <w:b/>
          <w:i/>
        </w:rPr>
        <w:t>alíneas “b”, “d”, “e” e “f” do inciso I do art. 159, nos termos do inciso IV do</w:t>
      </w:r>
      <w:r w:rsidRPr="002201AC">
        <w:rPr>
          <w:rFonts w:ascii="Arial" w:eastAsia="Arial" w:hAnsi="Arial" w:cs="Arial"/>
          <w:b/>
          <w:i/>
        </w:rPr>
        <w:t xml:space="preserve"> </w:t>
      </w:r>
      <w:r w:rsidRPr="002201AC">
        <w:rPr>
          <w:rFonts w:ascii="Arial" w:eastAsia="Arial" w:hAnsi="Arial" w:cs="Arial"/>
          <w:b/>
          <w:i/>
        </w:rPr>
        <w:t>art. 167, todos da Constituição Federal, até o limite suficiente para o</w:t>
      </w:r>
      <w:r w:rsidRPr="002201AC">
        <w:rPr>
          <w:rFonts w:ascii="Arial" w:eastAsia="Arial" w:hAnsi="Arial" w:cs="Arial"/>
          <w:b/>
          <w:i/>
        </w:rPr>
        <w:t xml:space="preserve"> </w:t>
      </w:r>
      <w:r w:rsidRPr="002201AC">
        <w:rPr>
          <w:rFonts w:ascii="Arial" w:eastAsia="Arial" w:hAnsi="Arial" w:cs="Arial"/>
          <w:b/>
          <w:i/>
        </w:rPr>
        <w:t>pagamento das prestações, principal, juros, tarifas bancárias, e outros</w:t>
      </w:r>
      <w:r w:rsidRPr="002201AC">
        <w:rPr>
          <w:rFonts w:ascii="Arial" w:eastAsia="Arial" w:hAnsi="Arial" w:cs="Arial"/>
          <w:b/>
          <w:i/>
        </w:rPr>
        <w:t xml:space="preserve"> </w:t>
      </w:r>
      <w:r w:rsidRPr="002201AC">
        <w:rPr>
          <w:rFonts w:ascii="Arial" w:eastAsia="Arial" w:hAnsi="Arial" w:cs="Arial"/>
          <w:b/>
          <w:i/>
        </w:rPr>
        <w:t>encargos da operação de crédito.”.</w:t>
      </w:r>
    </w:p>
    <w:p w:rsidR="002D01FE" w:rsidRDefault="002D01FE" w:rsidP="002201AC">
      <w:pPr>
        <w:spacing w:line="360" w:lineRule="auto"/>
        <w:jc w:val="both"/>
        <w:rPr>
          <w:rFonts w:ascii="Arial" w:eastAsia="Arial" w:hAnsi="Arial" w:cs="Arial"/>
        </w:rPr>
      </w:pPr>
    </w:p>
    <w:p w:rsidR="002201AC" w:rsidRDefault="002201AC" w:rsidP="002201AC">
      <w:pPr>
        <w:spacing w:line="360" w:lineRule="auto"/>
        <w:ind w:firstLine="709"/>
        <w:jc w:val="both"/>
        <w:rPr>
          <w:rFonts w:ascii="Arial" w:eastAsia="Arial" w:hAnsi="Arial" w:cs="Arial"/>
        </w:rPr>
      </w:pPr>
      <w:r>
        <w:rPr>
          <w:rFonts w:ascii="Arial" w:eastAsia="Arial" w:hAnsi="Arial" w:cs="Arial"/>
        </w:rPr>
        <w:t>Breve é o relatório.</w:t>
      </w:r>
    </w:p>
    <w:p w:rsidR="002201AC" w:rsidRPr="002201AC" w:rsidRDefault="002201AC" w:rsidP="002201AC">
      <w:pPr>
        <w:spacing w:line="360" w:lineRule="auto"/>
        <w:jc w:val="both"/>
        <w:rPr>
          <w:rFonts w:ascii="Arial" w:eastAsia="Arial" w:hAnsi="Arial" w:cs="Arial"/>
        </w:rPr>
      </w:pPr>
    </w:p>
    <w:p w:rsidR="002D01FE" w:rsidRPr="002201AC" w:rsidRDefault="00E95FF1" w:rsidP="002201AC">
      <w:pPr>
        <w:jc w:val="center"/>
        <w:rPr>
          <w:rFonts w:ascii="Arial" w:eastAsia="Arial" w:hAnsi="Arial" w:cs="Arial"/>
          <w:sz w:val="28"/>
        </w:rPr>
      </w:pPr>
      <w:r w:rsidRPr="002201AC">
        <w:rPr>
          <w:rFonts w:ascii="Arial" w:eastAsia="Arial" w:hAnsi="Arial" w:cs="Arial"/>
          <w:b/>
          <w:sz w:val="28"/>
        </w:rPr>
        <w:t>PARECER</w:t>
      </w:r>
    </w:p>
    <w:p w:rsidR="002D01FE" w:rsidRPr="002201AC" w:rsidRDefault="002D01FE" w:rsidP="002201AC">
      <w:pPr>
        <w:jc w:val="both"/>
        <w:rPr>
          <w:rFonts w:ascii="Arial" w:eastAsia="Arial" w:hAnsi="Arial" w:cs="Arial"/>
        </w:rPr>
      </w:pPr>
    </w:p>
    <w:p w:rsidR="002D01FE" w:rsidRPr="002201AC" w:rsidRDefault="00E95FF1" w:rsidP="002201AC">
      <w:pPr>
        <w:spacing w:line="360" w:lineRule="auto"/>
        <w:ind w:firstLine="700"/>
        <w:jc w:val="both"/>
        <w:rPr>
          <w:rFonts w:ascii="Arial" w:eastAsia="Arial" w:hAnsi="Arial" w:cs="Arial"/>
        </w:rPr>
      </w:pPr>
      <w:r w:rsidRPr="002201AC">
        <w:rPr>
          <w:rFonts w:ascii="Arial" w:eastAsia="Arial" w:hAnsi="Arial" w:cs="Arial"/>
        </w:rPr>
        <w:tab/>
        <w:t xml:space="preserve">A respeito do processo legislativo que visa apresentar </w:t>
      </w:r>
      <w:r w:rsidRPr="002201AC">
        <w:rPr>
          <w:rFonts w:ascii="Arial" w:eastAsia="Arial" w:hAnsi="Arial" w:cs="Arial"/>
          <w:i/>
        </w:rPr>
        <w:t>emenda a projeto de lei</w:t>
      </w:r>
      <w:r w:rsidRPr="002201AC">
        <w:rPr>
          <w:rFonts w:ascii="Arial" w:eastAsia="Arial" w:hAnsi="Arial" w:cs="Arial"/>
        </w:rPr>
        <w:t>, transcrevemos:</w:t>
      </w:r>
    </w:p>
    <w:p w:rsidR="002D01FE" w:rsidRPr="002201AC" w:rsidRDefault="002D01FE" w:rsidP="002201AC">
      <w:pPr>
        <w:ind w:left="2160" w:firstLine="700"/>
        <w:jc w:val="both"/>
        <w:rPr>
          <w:rFonts w:ascii="Arial" w:eastAsia="Arial" w:hAnsi="Arial" w:cs="Arial"/>
        </w:rPr>
      </w:pPr>
    </w:p>
    <w:p w:rsidR="002D01FE" w:rsidRPr="002201AC" w:rsidRDefault="00E95FF1" w:rsidP="002201AC">
      <w:pPr>
        <w:ind w:left="2160"/>
        <w:jc w:val="both"/>
        <w:rPr>
          <w:rFonts w:ascii="Arial" w:eastAsia="Arial" w:hAnsi="Arial" w:cs="Arial"/>
        </w:rPr>
      </w:pPr>
      <w:r w:rsidRPr="002201AC">
        <w:rPr>
          <w:rFonts w:ascii="Arial" w:eastAsia="Arial" w:hAnsi="Arial" w:cs="Arial"/>
        </w:rPr>
        <w:t xml:space="preserve">“Emendas são proposições ou propostas de direito novo, apresentadas como </w:t>
      </w:r>
      <w:proofErr w:type="gramStart"/>
      <w:r w:rsidRPr="002201AC">
        <w:rPr>
          <w:rFonts w:ascii="Arial" w:eastAsia="Arial" w:hAnsi="Arial" w:cs="Arial"/>
        </w:rPr>
        <w:t>acessórias ou secundária</w:t>
      </w:r>
      <w:proofErr w:type="gramEnd"/>
      <w:r w:rsidRPr="002201AC">
        <w:rPr>
          <w:rFonts w:ascii="Arial" w:eastAsia="Arial" w:hAnsi="Arial" w:cs="Arial"/>
        </w:rPr>
        <w:t xml:space="preserve"> de outras. São, em verdade, propostas de modificação, aditamento, </w:t>
      </w:r>
      <w:r w:rsidRPr="002201AC">
        <w:rPr>
          <w:rFonts w:ascii="Arial" w:eastAsia="Arial" w:hAnsi="Arial" w:cs="Arial"/>
        </w:rPr>
        <w:lastRenderedPageBreak/>
        <w:t>substituição, aglutinação ou separação e supressão de um determinado dispositivo a um projeto de lei, decreto legislativo ou resolução que se encontre tramitando pela câmara.</w:t>
      </w:r>
    </w:p>
    <w:p w:rsidR="002D01FE" w:rsidRPr="002201AC" w:rsidRDefault="002D01FE" w:rsidP="002201AC">
      <w:pPr>
        <w:ind w:left="2160" w:firstLine="700"/>
        <w:jc w:val="both"/>
        <w:rPr>
          <w:rFonts w:ascii="Arial" w:eastAsia="Arial" w:hAnsi="Arial" w:cs="Arial"/>
        </w:rPr>
      </w:pPr>
    </w:p>
    <w:p w:rsidR="002D01FE" w:rsidRPr="002201AC" w:rsidRDefault="00E95FF1" w:rsidP="002201AC">
      <w:pPr>
        <w:ind w:left="2160"/>
        <w:jc w:val="both"/>
        <w:rPr>
          <w:rFonts w:ascii="Arial" w:eastAsia="Arial" w:hAnsi="Arial" w:cs="Arial"/>
        </w:rPr>
      </w:pPr>
      <w:proofErr w:type="gramStart"/>
      <w:r w:rsidRPr="002201AC">
        <w:rPr>
          <w:rFonts w:ascii="Arial" w:eastAsia="Arial" w:hAnsi="Arial" w:cs="Arial"/>
        </w:rPr>
        <w:t>Na qualidade de proposições acessórias, as emendas e subemendas deverão sempre ser apreciadas após a votação e aprovação do projeto principal”</w:t>
      </w:r>
      <w:proofErr w:type="gramEnd"/>
      <w:r w:rsidRPr="002201AC">
        <w:rPr>
          <w:rFonts w:ascii="Arial" w:eastAsia="Arial" w:hAnsi="Arial" w:cs="Arial"/>
        </w:rPr>
        <w:t>.</w:t>
      </w:r>
    </w:p>
    <w:p w:rsidR="002D01FE" w:rsidRPr="002201AC" w:rsidRDefault="002D01FE" w:rsidP="002201AC">
      <w:pPr>
        <w:ind w:left="2160"/>
        <w:jc w:val="both"/>
        <w:rPr>
          <w:rFonts w:ascii="Arial" w:eastAsia="Arial" w:hAnsi="Arial" w:cs="Arial"/>
        </w:rPr>
      </w:pPr>
    </w:p>
    <w:p w:rsidR="002D01FE" w:rsidRPr="002201AC" w:rsidRDefault="00E95FF1" w:rsidP="002201AC">
      <w:pPr>
        <w:ind w:left="2160"/>
        <w:jc w:val="both"/>
        <w:rPr>
          <w:rFonts w:ascii="Arial" w:eastAsia="Arial" w:hAnsi="Arial" w:cs="Arial"/>
        </w:rPr>
      </w:pPr>
      <w:r w:rsidRPr="002201AC">
        <w:rPr>
          <w:rFonts w:ascii="Arial" w:eastAsia="Arial" w:hAnsi="Arial" w:cs="Arial"/>
        </w:rPr>
        <w:t xml:space="preserve">(In: “O Processo Legislativo Municipal: Doutrina, Jurisprudência e Prática”. Sampaio Júnior, João. 2ª ed. – Belo Horizonte: </w:t>
      </w:r>
      <w:proofErr w:type="spellStart"/>
      <w:r w:rsidRPr="002201AC">
        <w:rPr>
          <w:rFonts w:ascii="Arial" w:eastAsia="Arial" w:hAnsi="Arial" w:cs="Arial"/>
        </w:rPr>
        <w:t>Forum</w:t>
      </w:r>
      <w:proofErr w:type="spellEnd"/>
      <w:r w:rsidRPr="002201AC">
        <w:rPr>
          <w:rFonts w:ascii="Arial" w:eastAsia="Arial" w:hAnsi="Arial" w:cs="Arial"/>
        </w:rPr>
        <w:t>, 2009. p.96).</w:t>
      </w:r>
    </w:p>
    <w:p w:rsidR="002D01FE" w:rsidRPr="002201AC" w:rsidRDefault="002D01FE" w:rsidP="002201AC">
      <w:pPr>
        <w:spacing w:line="360" w:lineRule="auto"/>
        <w:ind w:firstLine="700"/>
        <w:jc w:val="both"/>
        <w:rPr>
          <w:rFonts w:ascii="Arial" w:eastAsia="Arial" w:hAnsi="Arial" w:cs="Arial"/>
        </w:rPr>
      </w:pPr>
    </w:p>
    <w:p w:rsidR="002D01FE" w:rsidRPr="002201AC" w:rsidRDefault="00E95FF1" w:rsidP="002201AC">
      <w:pPr>
        <w:spacing w:line="360" w:lineRule="auto"/>
        <w:ind w:firstLine="700"/>
        <w:jc w:val="both"/>
        <w:rPr>
          <w:rFonts w:ascii="Arial" w:eastAsia="Arial" w:hAnsi="Arial" w:cs="Arial"/>
        </w:rPr>
      </w:pPr>
      <w:r w:rsidRPr="002201AC">
        <w:rPr>
          <w:rFonts w:ascii="Arial" w:eastAsia="Arial" w:hAnsi="Arial" w:cs="Arial"/>
        </w:rPr>
        <w:t xml:space="preserve">Adentrando </w:t>
      </w:r>
      <w:proofErr w:type="gramStart"/>
      <w:r w:rsidRPr="002201AC">
        <w:rPr>
          <w:rFonts w:ascii="Arial" w:eastAsia="Arial" w:hAnsi="Arial" w:cs="Arial"/>
        </w:rPr>
        <w:t>à</w:t>
      </w:r>
      <w:proofErr w:type="gramEnd"/>
      <w:r w:rsidRPr="002201AC">
        <w:rPr>
          <w:rFonts w:ascii="Arial" w:eastAsia="Arial" w:hAnsi="Arial" w:cs="Arial"/>
        </w:rPr>
        <w:t xml:space="preserve"> tramitação do processo legislativo, cumpre transcrever a regulamentação constante do Regimento Interno da nobre Casa Legislativa Municipal:  </w:t>
      </w:r>
    </w:p>
    <w:p w:rsidR="002D01FE" w:rsidRPr="002201AC" w:rsidRDefault="002D01FE" w:rsidP="002201AC">
      <w:pPr>
        <w:spacing w:line="360" w:lineRule="auto"/>
        <w:ind w:firstLine="700"/>
        <w:jc w:val="both"/>
        <w:rPr>
          <w:rFonts w:ascii="Arial" w:eastAsia="Arial" w:hAnsi="Arial" w:cs="Arial"/>
        </w:rPr>
      </w:pPr>
    </w:p>
    <w:p w:rsidR="002D01FE" w:rsidRPr="002201AC" w:rsidRDefault="00E95FF1" w:rsidP="002201AC">
      <w:pPr>
        <w:ind w:left="2160"/>
        <w:jc w:val="both"/>
        <w:rPr>
          <w:rFonts w:ascii="Arial" w:eastAsia="Arial" w:hAnsi="Arial" w:cs="Arial"/>
        </w:rPr>
      </w:pPr>
      <w:r w:rsidRPr="002201AC">
        <w:rPr>
          <w:rFonts w:ascii="Arial" w:eastAsia="Arial" w:hAnsi="Arial" w:cs="Arial"/>
        </w:rPr>
        <w:t>Art. 120- As emendas e subemendas serão apresentadas à Mesa até 24 (vinte e quatro) horas antes do início da sessão, em cuja ordem do dia se ache incluída a proposição a que se referem, para fins de sua publicação, a não ser que sejam oferecidas por ocasião dos debates ou se tratar de projeto em regime de urgência, ou quando estejam elas assinadas pela maioria absoluta dos Vereadores.</w:t>
      </w:r>
    </w:p>
    <w:p w:rsidR="002D01FE" w:rsidRPr="002201AC" w:rsidRDefault="00E95FF1" w:rsidP="002201AC">
      <w:pPr>
        <w:spacing w:line="360" w:lineRule="auto"/>
        <w:ind w:firstLine="700"/>
        <w:jc w:val="both"/>
        <w:rPr>
          <w:rFonts w:ascii="Arial" w:eastAsia="Arial" w:hAnsi="Arial" w:cs="Arial"/>
        </w:rPr>
      </w:pPr>
      <w:r w:rsidRPr="002201AC">
        <w:rPr>
          <w:rFonts w:ascii="Arial" w:eastAsia="Arial" w:hAnsi="Arial" w:cs="Arial"/>
        </w:rPr>
        <w:t xml:space="preserve"> </w:t>
      </w:r>
    </w:p>
    <w:p w:rsidR="002201AC" w:rsidRPr="002201AC" w:rsidRDefault="00E95FF1" w:rsidP="002201AC">
      <w:pPr>
        <w:spacing w:line="360" w:lineRule="auto"/>
        <w:ind w:firstLine="700"/>
        <w:jc w:val="both"/>
        <w:rPr>
          <w:rFonts w:ascii="Arial" w:eastAsia="Arial" w:hAnsi="Arial" w:cs="Arial"/>
        </w:rPr>
      </w:pPr>
      <w:r w:rsidRPr="002201AC">
        <w:rPr>
          <w:rFonts w:ascii="Arial" w:eastAsia="Arial" w:hAnsi="Arial" w:cs="Arial"/>
        </w:rPr>
        <w:tab/>
        <w:t xml:space="preserve">Ao que se verifica do sistema de protocolo, observamos que o expediente foi apresentado a protocolo na data de </w:t>
      </w:r>
      <w:r w:rsidR="002201AC" w:rsidRPr="002201AC">
        <w:rPr>
          <w:rFonts w:ascii="Arial" w:eastAsia="Arial" w:hAnsi="Arial" w:cs="Arial"/>
        </w:rPr>
        <w:t>22/03/2023</w:t>
      </w:r>
      <w:r w:rsidRPr="002201AC">
        <w:rPr>
          <w:rFonts w:ascii="Arial" w:eastAsia="Arial" w:hAnsi="Arial" w:cs="Arial"/>
        </w:rPr>
        <w:t xml:space="preserve">, estando </w:t>
      </w:r>
      <w:proofErr w:type="gramStart"/>
      <w:r w:rsidRPr="002201AC">
        <w:rPr>
          <w:rFonts w:ascii="Arial" w:eastAsia="Arial" w:hAnsi="Arial" w:cs="Arial"/>
        </w:rPr>
        <w:t>a</w:t>
      </w:r>
      <w:proofErr w:type="gramEnd"/>
      <w:r w:rsidRPr="002201AC">
        <w:rPr>
          <w:rFonts w:ascii="Arial" w:eastAsia="Arial" w:hAnsi="Arial" w:cs="Arial"/>
        </w:rPr>
        <w:t xml:space="preserve"> proposição principal incluída para discussão e votação na ordem do dia da sessão do dia </w:t>
      </w:r>
      <w:r w:rsidR="002201AC" w:rsidRPr="002201AC">
        <w:rPr>
          <w:rFonts w:ascii="Arial" w:eastAsia="Arial" w:hAnsi="Arial" w:cs="Arial"/>
        </w:rPr>
        <w:t>23/03/2023.</w:t>
      </w:r>
      <w:r w:rsidRPr="002201AC">
        <w:rPr>
          <w:rFonts w:ascii="Arial" w:eastAsia="Arial" w:hAnsi="Arial" w:cs="Arial"/>
        </w:rPr>
        <w:t xml:space="preserve"> </w:t>
      </w:r>
    </w:p>
    <w:p w:rsidR="002201AC" w:rsidRPr="002201AC" w:rsidRDefault="002201AC" w:rsidP="002201AC">
      <w:pPr>
        <w:spacing w:line="360" w:lineRule="auto"/>
        <w:ind w:firstLine="700"/>
        <w:jc w:val="both"/>
        <w:rPr>
          <w:rFonts w:ascii="Arial" w:eastAsia="Arial" w:hAnsi="Arial" w:cs="Arial"/>
        </w:rPr>
      </w:pPr>
    </w:p>
    <w:p w:rsidR="002D01FE" w:rsidRPr="002201AC" w:rsidRDefault="002201AC" w:rsidP="002201AC">
      <w:pPr>
        <w:spacing w:line="360" w:lineRule="auto"/>
        <w:ind w:firstLine="700"/>
        <w:jc w:val="both"/>
        <w:rPr>
          <w:rFonts w:ascii="Arial" w:eastAsia="Arial" w:hAnsi="Arial" w:cs="Arial"/>
        </w:rPr>
      </w:pPr>
      <w:r w:rsidRPr="002201AC">
        <w:rPr>
          <w:rFonts w:ascii="Arial" w:eastAsia="Arial" w:hAnsi="Arial" w:cs="Arial"/>
        </w:rPr>
        <w:t xml:space="preserve">Resta, portanto, </w:t>
      </w:r>
      <w:r w:rsidR="00E95FF1" w:rsidRPr="002201AC">
        <w:rPr>
          <w:rFonts w:ascii="Arial" w:eastAsia="Arial" w:hAnsi="Arial" w:cs="Arial"/>
        </w:rPr>
        <w:t>cumprido tal requisito formal.</w:t>
      </w:r>
    </w:p>
    <w:p w:rsidR="002D01FE" w:rsidRPr="002201AC" w:rsidRDefault="002D01FE" w:rsidP="002201AC">
      <w:pPr>
        <w:spacing w:line="360" w:lineRule="auto"/>
        <w:ind w:firstLine="700"/>
        <w:jc w:val="both"/>
        <w:rPr>
          <w:rFonts w:ascii="Arial" w:eastAsia="Arial" w:hAnsi="Arial" w:cs="Arial"/>
        </w:rPr>
      </w:pPr>
    </w:p>
    <w:p w:rsidR="002201AC" w:rsidRPr="002201AC" w:rsidRDefault="002201AC" w:rsidP="002201AC">
      <w:pPr>
        <w:spacing w:line="360" w:lineRule="auto"/>
        <w:ind w:firstLine="700"/>
        <w:jc w:val="both"/>
        <w:rPr>
          <w:rFonts w:ascii="Arial" w:eastAsia="Arial" w:hAnsi="Arial" w:cs="Arial"/>
        </w:rPr>
      </w:pPr>
      <w:r w:rsidRPr="002201AC">
        <w:rPr>
          <w:rFonts w:ascii="Arial" w:eastAsia="Arial" w:hAnsi="Arial" w:cs="Arial"/>
        </w:rPr>
        <w:t xml:space="preserve">No mérito, a proposição visa adicionar a forma de </w:t>
      </w:r>
      <w:r w:rsidRPr="002201AC">
        <w:rPr>
          <w:rFonts w:ascii="Arial" w:eastAsia="Arial" w:hAnsi="Arial" w:cs="Arial"/>
        </w:rPr>
        <w:t>o art. 167, IV, também da Constituição Federal, abre exceção para</w:t>
      </w:r>
      <w:r>
        <w:rPr>
          <w:rFonts w:ascii="Arial" w:eastAsia="Arial" w:hAnsi="Arial" w:cs="Arial"/>
        </w:rPr>
        <w:t xml:space="preserve"> </w:t>
      </w:r>
      <w:r w:rsidRPr="002201AC">
        <w:rPr>
          <w:rFonts w:ascii="Arial" w:eastAsia="Arial" w:hAnsi="Arial" w:cs="Arial"/>
        </w:rPr>
        <w:t>permitir a vinculação de receita de impostos à prestação de garantias às operações de</w:t>
      </w:r>
      <w:r>
        <w:rPr>
          <w:rFonts w:ascii="Arial" w:eastAsia="Arial" w:hAnsi="Arial" w:cs="Arial"/>
        </w:rPr>
        <w:t xml:space="preserve"> </w:t>
      </w:r>
      <w:r w:rsidRPr="002201AC">
        <w:rPr>
          <w:rFonts w:ascii="Arial" w:eastAsia="Arial" w:hAnsi="Arial" w:cs="Arial"/>
        </w:rPr>
        <w:t>crédito por antecipação de receita</w:t>
      </w:r>
      <w:r w:rsidR="00A10B30">
        <w:rPr>
          <w:rFonts w:ascii="Arial" w:eastAsia="Arial" w:hAnsi="Arial" w:cs="Arial"/>
        </w:rPr>
        <w:t>.</w:t>
      </w:r>
    </w:p>
    <w:p w:rsidR="002201AC" w:rsidRPr="002201AC" w:rsidRDefault="002201AC" w:rsidP="002201AC">
      <w:pPr>
        <w:spacing w:line="360" w:lineRule="auto"/>
        <w:ind w:firstLine="360"/>
        <w:jc w:val="both"/>
        <w:rPr>
          <w:rFonts w:ascii="Arial" w:eastAsia="Arial" w:hAnsi="Arial" w:cs="Arial"/>
        </w:rPr>
      </w:pPr>
    </w:p>
    <w:p w:rsidR="002201AC" w:rsidRPr="00A10B30" w:rsidRDefault="002201AC" w:rsidP="00A10B30">
      <w:pPr>
        <w:spacing w:line="360" w:lineRule="auto"/>
        <w:ind w:left="3402"/>
        <w:jc w:val="both"/>
        <w:rPr>
          <w:rFonts w:ascii="Arial" w:eastAsia="Arial" w:hAnsi="Arial" w:cs="Arial"/>
          <w:i/>
          <w:sz w:val="22"/>
        </w:rPr>
      </w:pPr>
      <w:r w:rsidRPr="00A10B30">
        <w:rPr>
          <w:rFonts w:ascii="Arial" w:eastAsia="Arial" w:hAnsi="Arial" w:cs="Arial"/>
          <w:i/>
          <w:sz w:val="22"/>
        </w:rPr>
        <w:t>Art. 167. São vedados:</w:t>
      </w:r>
    </w:p>
    <w:p w:rsidR="002201AC" w:rsidRPr="00A10B30" w:rsidRDefault="002201AC" w:rsidP="00A10B30">
      <w:pPr>
        <w:spacing w:line="360" w:lineRule="auto"/>
        <w:ind w:left="3402"/>
        <w:jc w:val="both"/>
        <w:rPr>
          <w:rFonts w:ascii="Arial" w:eastAsia="Arial" w:hAnsi="Arial" w:cs="Arial"/>
          <w:i/>
          <w:sz w:val="22"/>
        </w:rPr>
      </w:pPr>
      <w:r w:rsidRPr="00A10B30">
        <w:rPr>
          <w:rFonts w:ascii="Arial" w:eastAsia="Arial" w:hAnsi="Arial" w:cs="Arial"/>
          <w:i/>
          <w:sz w:val="22"/>
        </w:rPr>
        <w:t>(...)</w:t>
      </w:r>
    </w:p>
    <w:p w:rsidR="00A10B30" w:rsidRPr="00A10B30" w:rsidRDefault="002201AC" w:rsidP="00A10B30">
      <w:pPr>
        <w:spacing w:line="360" w:lineRule="auto"/>
        <w:ind w:left="3402"/>
        <w:jc w:val="both"/>
        <w:rPr>
          <w:rFonts w:ascii="Arial" w:eastAsia="Arial" w:hAnsi="Arial" w:cs="Arial"/>
          <w:i/>
          <w:sz w:val="22"/>
        </w:rPr>
      </w:pPr>
      <w:r w:rsidRPr="00A10B30">
        <w:rPr>
          <w:rFonts w:ascii="Arial" w:eastAsia="Arial" w:hAnsi="Arial" w:cs="Arial"/>
          <w:i/>
          <w:sz w:val="22"/>
        </w:rPr>
        <w:t>IV - a vinculação de receita de impostos a órgão, fundo ou</w:t>
      </w:r>
      <w:r w:rsidR="00A10B30" w:rsidRPr="00A10B30">
        <w:rPr>
          <w:rFonts w:ascii="Arial" w:eastAsia="Arial" w:hAnsi="Arial" w:cs="Arial"/>
          <w:i/>
          <w:sz w:val="22"/>
        </w:rPr>
        <w:t xml:space="preserve"> </w:t>
      </w:r>
      <w:r w:rsidRPr="00A10B30">
        <w:rPr>
          <w:rFonts w:ascii="Arial" w:eastAsia="Arial" w:hAnsi="Arial" w:cs="Arial"/>
          <w:i/>
          <w:sz w:val="22"/>
        </w:rPr>
        <w:t xml:space="preserve">despesa, </w:t>
      </w:r>
      <w:proofErr w:type="gramStart"/>
      <w:r w:rsidRPr="00A10B30">
        <w:rPr>
          <w:rFonts w:ascii="Arial" w:eastAsia="Arial" w:hAnsi="Arial" w:cs="Arial"/>
          <w:i/>
          <w:sz w:val="22"/>
        </w:rPr>
        <w:t>ressalvadas</w:t>
      </w:r>
      <w:proofErr w:type="gramEnd"/>
      <w:r w:rsidRPr="00A10B30">
        <w:rPr>
          <w:rFonts w:ascii="Arial" w:eastAsia="Arial" w:hAnsi="Arial" w:cs="Arial"/>
          <w:i/>
          <w:sz w:val="22"/>
        </w:rPr>
        <w:t xml:space="preserve"> a repartição do produto da arrecadação</w:t>
      </w:r>
      <w:r w:rsidR="00A10B30" w:rsidRPr="00A10B30">
        <w:rPr>
          <w:rFonts w:ascii="Arial" w:eastAsia="Arial" w:hAnsi="Arial" w:cs="Arial"/>
          <w:i/>
          <w:sz w:val="22"/>
        </w:rPr>
        <w:t xml:space="preserve"> </w:t>
      </w:r>
      <w:r w:rsidRPr="00A10B30">
        <w:rPr>
          <w:rFonts w:ascii="Arial" w:eastAsia="Arial" w:hAnsi="Arial" w:cs="Arial"/>
          <w:i/>
          <w:sz w:val="22"/>
        </w:rPr>
        <w:t xml:space="preserve">dos impostos a que se referem os </w:t>
      </w:r>
      <w:proofErr w:type="spellStart"/>
      <w:r w:rsidRPr="00A10B30">
        <w:rPr>
          <w:rFonts w:ascii="Arial" w:eastAsia="Arial" w:hAnsi="Arial" w:cs="Arial"/>
          <w:i/>
          <w:sz w:val="22"/>
        </w:rPr>
        <w:t>arts</w:t>
      </w:r>
      <w:proofErr w:type="spellEnd"/>
      <w:r w:rsidRPr="00A10B30">
        <w:rPr>
          <w:rFonts w:ascii="Arial" w:eastAsia="Arial" w:hAnsi="Arial" w:cs="Arial"/>
          <w:i/>
          <w:sz w:val="22"/>
        </w:rPr>
        <w:t xml:space="preserve">. 158 </w:t>
      </w:r>
      <w:r w:rsidRPr="00A10B30">
        <w:rPr>
          <w:rFonts w:ascii="Arial" w:eastAsia="Arial" w:hAnsi="Arial" w:cs="Arial"/>
          <w:i/>
          <w:sz w:val="22"/>
        </w:rPr>
        <w:lastRenderedPageBreak/>
        <w:t>e 159, a</w:t>
      </w:r>
      <w:r w:rsidR="00A10B30" w:rsidRPr="00A10B30">
        <w:rPr>
          <w:rFonts w:ascii="Arial" w:eastAsia="Arial" w:hAnsi="Arial" w:cs="Arial"/>
          <w:i/>
          <w:sz w:val="22"/>
        </w:rPr>
        <w:t xml:space="preserve"> </w:t>
      </w:r>
      <w:r w:rsidRPr="00A10B30">
        <w:rPr>
          <w:rFonts w:ascii="Arial" w:eastAsia="Arial" w:hAnsi="Arial" w:cs="Arial"/>
          <w:i/>
          <w:sz w:val="22"/>
        </w:rPr>
        <w:t>destinação de recursos para as ações e serviços públicos de</w:t>
      </w:r>
      <w:r w:rsidR="00A10B30" w:rsidRPr="00A10B30">
        <w:rPr>
          <w:rFonts w:ascii="Arial" w:eastAsia="Arial" w:hAnsi="Arial" w:cs="Arial"/>
          <w:i/>
          <w:sz w:val="22"/>
        </w:rPr>
        <w:t xml:space="preserve"> </w:t>
      </w:r>
      <w:r w:rsidRPr="00A10B30">
        <w:rPr>
          <w:rFonts w:ascii="Arial" w:eastAsia="Arial" w:hAnsi="Arial" w:cs="Arial"/>
          <w:i/>
          <w:sz w:val="22"/>
        </w:rPr>
        <w:t>saúde, para manutenção e desenvolvimento do ensino e para</w:t>
      </w:r>
      <w:r w:rsidR="00A10B30" w:rsidRPr="00A10B30">
        <w:rPr>
          <w:rFonts w:ascii="Arial" w:eastAsia="Arial" w:hAnsi="Arial" w:cs="Arial"/>
          <w:i/>
          <w:sz w:val="22"/>
        </w:rPr>
        <w:t xml:space="preserve"> </w:t>
      </w:r>
      <w:r w:rsidRPr="00A10B30">
        <w:rPr>
          <w:rFonts w:ascii="Arial" w:eastAsia="Arial" w:hAnsi="Arial" w:cs="Arial"/>
          <w:i/>
          <w:sz w:val="22"/>
        </w:rPr>
        <w:t>realização de atividades da administração tributária, como</w:t>
      </w:r>
      <w:r w:rsidR="00A10B30">
        <w:rPr>
          <w:rFonts w:ascii="Arial" w:eastAsia="Arial" w:hAnsi="Arial" w:cs="Arial"/>
          <w:i/>
          <w:sz w:val="22"/>
        </w:rPr>
        <w:t xml:space="preserve"> </w:t>
      </w:r>
      <w:r w:rsidR="00A10B30" w:rsidRPr="00A10B30">
        <w:rPr>
          <w:rFonts w:ascii="Arial" w:eastAsia="Arial" w:hAnsi="Arial" w:cs="Arial"/>
          <w:i/>
          <w:sz w:val="22"/>
        </w:rPr>
        <w:t xml:space="preserve">determinado, respectivamente, pelos </w:t>
      </w:r>
      <w:proofErr w:type="spellStart"/>
      <w:r w:rsidR="00A10B30" w:rsidRPr="00A10B30">
        <w:rPr>
          <w:rFonts w:ascii="Arial" w:eastAsia="Arial" w:hAnsi="Arial" w:cs="Arial"/>
          <w:i/>
          <w:sz w:val="22"/>
        </w:rPr>
        <w:t>arts</w:t>
      </w:r>
      <w:proofErr w:type="spellEnd"/>
      <w:r w:rsidR="00A10B30" w:rsidRPr="00A10B30">
        <w:rPr>
          <w:rFonts w:ascii="Arial" w:eastAsia="Arial" w:hAnsi="Arial" w:cs="Arial"/>
          <w:i/>
          <w:sz w:val="22"/>
        </w:rPr>
        <w:t>. 198, § 2º, 212 e 37,</w:t>
      </w:r>
      <w:r w:rsidR="00A10B30">
        <w:rPr>
          <w:rFonts w:ascii="Arial" w:eastAsia="Arial" w:hAnsi="Arial" w:cs="Arial"/>
          <w:i/>
          <w:sz w:val="22"/>
        </w:rPr>
        <w:t xml:space="preserve"> </w:t>
      </w:r>
      <w:r w:rsidR="00A10B30" w:rsidRPr="00A10B30">
        <w:rPr>
          <w:rFonts w:ascii="Arial" w:eastAsia="Arial" w:hAnsi="Arial" w:cs="Arial"/>
          <w:i/>
          <w:sz w:val="22"/>
        </w:rPr>
        <w:t>XXII, e a prestação de garantias às operações de crédito por</w:t>
      </w:r>
      <w:r w:rsidR="00A10B30">
        <w:rPr>
          <w:rFonts w:ascii="Arial" w:eastAsia="Arial" w:hAnsi="Arial" w:cs="Arial"/>
          <w:i/>
          <w:sz w:val="22"/>
        </w:rPr>
        <w:t xml:space="preserve"> </w:t>
      </w:r>
      <w:r w:rsidR="00A10B30" w:rsidRPr="00A10B30">
        <w:rPr>
          <w:rFonts w:ascii="Arial" w:eastAsia="Arial" w:hAnsi="Arial" w:cs="Arial"/>
          <w:i/>
          <w:sz w:val="22"/>
        </w:rPr>
        <w:t>antecipação de receita, previstas no art. 165, § 8º, bem como</w:t>
      </w:r>
      <w:r w:rsidR="00A10B30">
        <w:rPr>
          <w:rFonts w:ascii="Arial" w:eastAsia="Arial" w:hAnsi="Arial" w:cs="Arial"/>
          <w:i/>
          <w:sz w:val="22"/>
        </w:rPr>
        <w:t xml:space="preserve"> </w:t>
      </w:r>
      <w:r w:rsidR="00A10B30" w:rsidRPr="00A10B30">
        <w:rPr>
          <w:rFonts w:ascii="Arial" w:eastAsia="Arial" w:hAnsi="Arial" w:cs="Arial"/>
          <w:i/>
          <w:sz w:val="22"/>
        </w:rPr>
        <w:t>o disposto no § 4º deste artigo;</w:t>
      </w:r>
    </w:p>
    <w:p w:rsidR="00A10B30" w:rsidRPr="00A10B30" w:rsidRDefault="00A10B30" w:rsidP="00A10B30">
      <w:pPr>
        <w:spacing w:line="360" w:lineRule="auto"/>
        <w:ind w:left="3402"/>
        <w:jc w:val="both"/>
        <w:rPr>
          <w:rFonts w:ascii="Arial" w:eastAsia="Arial" w:hAnsi="Arial" w:cs="Arial"/>
          <w:i/>
          <w:sz w:val="22"/>
        </w:rPr>
      </w:pPr>
    </w:p>
    <w:p w:rsidR="00A10B30" w:rsidRPr="00A10B30" w:rsidRDefault="00A10B30" w:rsidP="00A10B30">
      <w:pPr>
        <w:spacing w:line="360" w:lineRule="auto"/>
        <w:ind w:firstLine="1134"/>
        <w:jc w:val="both"/>
        <w:rPr>
          <w:rFonts w:ascii="Arial" w:eastAsia="Arial" w:hAnsi="Arial" w:cs="Arial"/>
        </w:rPr>
      </w:pPr>
      <w:r w:rsidRPr="00A10B30">
        <w:rPr>
          <w:rFonts w:ascii="Arial" w:eastAsia="Arial" w:hAnsi="Arial" w:cs="Arial"/>
        </w:rPr>
        <w:t>Em relação à vinculação de receitas decorrentes de transferências constitucionais para a prestação de garantia à operação de crédito (art. 158 da CF), há profunda divergência jurídica acerca da interpretação do art. 167, inciso IV, da Constituição Federal, existindo duas interpretações possíveis.</w:t>
      </w:r>
    </w:p>
    <w:p w:rsidR="00A10B30" w:rsidRPr="00A10B30" w:rsidRDefault="00A10B30" w:rsidP="00A10B30">
      <w:pPr>
        <w:spacing w:line="360" w:lineRule="auto"/>
        <w:ind w:firstLine="1134"/>
        <w:jc w:val="both"/>
        <w:rPr>
          <w:rFonts w:ascii="Arial" w:eastAsia="Arial" w:hAnsi="Arial" w:cs="Arial"/>
          <w:sz w:val="22"/>
        </w:rPr>
      </w:pPr>
    </w:p>
    <w:p w:rsidR="00A10B30" w:rsidRDefault="00A10B30" w:rsidP="00A10B30">
      <w:pPr>
        <w:spacing w:line="360" w:lineRule="auto"/>
        <w:ind w:firstLine="1134"/>
        <w:jc w:val="both"/>
        <w:rPr>
          <w:rFonts w:ascii="Arial" w:eastAsia="Arial" w:hAnsi="Arial" w:cs="Arial"/>
        </w:rPr>
      </w:pPr>
      <w:r w:rsidRPr="00A10B30">
        <w:rPr>
          <w:rFonts w:ascii="Arial" w:eastAsia="Arial" w:hAnsi="Arial" w:cs="Arial"/>
        </w:rPr>
        <w:t xml:space="preserve">A primeira delas, que pugna pela possibilidade da vinculação, tem fundamentos semelhantes à interpretação exarada quanto à receita do Fundo de Participação dos Municípios. </w:t>
      </w:r>
    </w:p>
    <w:p w:rsidR="00A10B30" w:rsidRDefault="00A10B30" w:rsidP="00A10B30">
      <w:pPr>
        <w:spacing w:line="360" w:lineRule="auto"/>
        <w:ind w:firstLine="1134"/>
        <w:jc w:val="both"/>
        <w:rPr>
          <w:rFonts w:ascii="Arial" w:eastAsia="Arial" w:hAnsi="Arial" w:cs="Arial"/>
        </w:rPr>
      </w:pPr>
    </w:p>
    <w:p w:rsidR="00A10B30" w:rsidRDefault="00A10B30" w:rsidP="00A10B30">
      <w:pPr>
        <w:spacing w:line="360" w:lineRule="auto"/>
        <w:ind w:firstLine="1134"/>
        <w:jc w:val="both"/>
        <w:rPr>
          <w:rFonts w:ascii="Arial" w:eastAsia="Arial" w:hAnsi="Arial" w:cs="Arial"/>
        </w:rPr>
      </w:pPr>
      <w:r w:rsidRPr="00A10B30">
        <w:rPr>
          <w:rFonts w:ascii="Arial" w:eastAsia="Arial" w:hAnsi="Arial" w:cs="Arial"/>
        </w:rPr>
        <w:t xml:space="preserve">Segundo tal corrente, as receitas oriundas de transferências constitucionais aos Municípios (art. 158 da CF/88) não possuem natureza de receitas de impostos, mas de receitas de transferências, ingressando no erário municipal como transferências correntes, que não se confundem com a receita tributária (art. 11, § 4º, da Lei 4.320/1964). </w:t>
      </w:r>
    </w:p>
    <w:p w:rsidR="00A10B30" w:rsidRDefault="00A10B30" w:rsidP="00A10B30">
      <w:pPr>
        <w:spacing w:line="360" w:lineRule="auto"/>
        <w:ind w:firstLine="1134"/>
        <w:jc w:val="both"/>
        <w:rPr>
          <w:rFonts w:ascii="Arial" w:eastAsia="Arial" w:hAnsi="Arial" w:cs="Arial"/>
        </w:rPr>
      </w:pPr>
    </w:p>
    <w:p w:rsidR="00A10B30" w:rsidRPr="00A10B30" w:rsidRDefault="00A10B30" w:rsidP="00A10B30">
      <w:pPr>
        <w:spacing w:line="360" w:lineRule="auto"/>
        <w:ind w:firstLine="1134"/>
        <w:jc w:val="both"/>
        <w:rPr>
          <w:rFonts w:ascii="Arial" w:eastAsia="Arial" w:hAnsi="Arial" w:cs="Arial"/>
        </w:rPr>
      </w:pPr>
      <w:r w:rsidRPr="00A10B30">
        <w:rPr>
          <w:rFonts w:ascii="Arial" w:eastAsia="Arial" w:hAnsi="Arial" w:cs="Arial"/>
        </w:rPr>
        <w:t>Desse modo, perderiam a natureza de receitas de impostos, não incidindo na vedação do art. 167, inciso IV, da Constituição Federal. Essa é a interpretação da Procuradoria-Geral do Município de São Paulo, a qual, no Parecer nº 11.776/2017 [4</w:t>
      </w:r>
      <w:proofErr w:type="gramStart"/>
      <w:r w:rsidRPr="00A10B30">
        <w:rPr>
          <w:rFonts w:ascii="Arial" w:eastAsia="Arial" w:hAnsi="Arial" w:cs="Arial"/>
        </w:rPr>
        <w:t>] ,</w:t>
      </w:r>
      <w:proofErr w:type="gramEnd"/>
      <w:r w:rsidRPr="00A10B30">
        <w:rPr>
          <w:rFonts w:ascii="Arial" w:eastAsia="Arial" w:hAnsi="Arial" w:cs="Arial"/>
        </w:rPr>
        <w:t xml:space="preserve"> assim explanou:</w:t>
      </w:r>
    </w:p>
    <w:p w:rsidR="00A10B30" w:rsidRPr="00A10B30" w:rsidRDefault="00A10B30" w:rsidP="00A10B30">
      <w:pPr>
        <w:spacing w:line="360" w:lineRule="auto"/>
        <w:ind w:left="3402"/>
        <w:jc w:val="both"/>
        <w:rPr>
          <w:rFonts w:ascii="Arial" w:eastAsia="Arial" w:hAnsi="Arial" w:cs="Arial"/>
          <w:i/>
          <w:sz w:val="22"/>
        </w:rPr>
      </w:pPr>
    </w:p>
    <w:p w:rsidR="00A10B30" w:rsidRPr="00A10B30" w:rsidRDefault="00A10B30" w:rsidP="00A10B30">
      <w:pPr>
        <w:spacing w:line="360" w:lineRule="auto"/>
        <w:ind w:left="3402"/>
        <w:jc w:val="both"/>
        <w:rPr>
          <w:rFonts w:ascii="Arial" w:eastAsia="Arial" w:hAnsi="Arial" w:cs="Arial"/>
          <w:i/>
          <w:sz w:val="22"/>
        </w:rPr>
      </w:pPr>
      <w:r w:rsidRPr="00A10B30">
        <w:rPr>
          <w:rFonts w:ascii="Arial" w:eastAsia="Arial" w:hAnsi="Arial" w:cs="Arial"/>
          <w:i/>
          <w:sz w:val="22"/>
        </w:rPr>
        <w:t xml:space="preserve">Nenhuma das interpretações é despida de lógica, mas </w:t>
      </w:r>
      <w:proofErr w:type="gramStart"/>
      <w:r w:rsidRPr="00A10B30">
        <w:rPr>
          <w:rFonts w:ascii="Arial" w:eastAsia="Arial" w:hAnsi="Arial" w:cs="Arial"/>
          <w:i/>
          <w:sz w:val="22"/>
        </w:rPr>
        <w:t>a</w:t>
      </w:r>
      <w:proofErr w:type="gramEnd"/>
    </w:p>
    <w:p w:rsidR="00A10B30" w:rsidRPr="00A10B30" w:rsidRDefault="00A10B30" w:rsidP="00A10B30">
      <w:pPr>
        <w:spacing w:line="360" w:lineRule="auto"/>
        <w:ind w:left="3402"/>
        <w:jc w:val="both"/>
        <w:rPr>
          <w:rFonts w:ascii="Arial" w:eastAsia="Arial" w:hAnsi="Arial" w:cs="Arial"/>
          <w:i/>
          <w:sz w:val="22"/>
        </w:rPr>
      </w:pPr>
      <w:proofErr w:type="gramStart"/>
      <w:r w:rsidRPr="00A10B30">
        <w:rPr>
          <w:rFonts w:ascii="Arial" w:eastAsia="Arial" w:hAnsi="Arial" w:cs="Arial"/>
          <w:i/>
          <w:sz w:val="22"/>
        </w:rPr>
        <w:t>primeira</w:t>
      </w:r>
      <w:proofErr w:type="gramEnd"/>
      <w:r w:rsidRPr="00A10B30">
        <w:rPr>
          <w:rFonts w:ascii="Arial" w:eastAsia="Arial" w:hAnsi="Arial" w:cs="Arial"/>
          <w:i/>
          <w:sz w:val="22"/>
        </w:rPr>
        <w:t xml:space="preserve"> continua nos parecendo melhor. Para os entes que</w:t>
      </w:r>
      <w:r>
        <w:rPr>
          <w:rFonts w:ascii="Arial" w:eastAsia="Arial" w:hAnsi="Arial" w:cs="Arial"/>
          <w:i/>
          <w:sz w:val="22"/>
        </w:rPr>
        <w:t xml:space="preserve"> </w:t>
      </w:r>
      <w:r w:rsidRPr="00A10B30">
        <w:rPr>
          <w:rFonts w:ascii="Arial" w:eastAsia="Arial" w:hAnsi="Arial" w:cs="Arial"/>
          <w:i/>
          <w:sz w:val="22"/>
        </w:rPr>
        <w:t>recebem transferências, a receita em questão não se trata de</w:t>
      </w:r>
      <w:r>
        <w:rPr>
          <w:rFonts w:ascii="Arial" w:eastAsia="Arial" w:hAnsi="Arial" w:cs="Arial"/>
          <w:i/>
          <w:sz w:val="22"/>
        </w:rPr>
        <w:t xml:space="preserve"> </w:t>
      </w:r>
      <w:r w:rsidRPr="00A10B30">
        <w:rPr>
          <w:rFonts w:ascii="Arial" w:eastAsia="Arial" w:hAnsi="Arial" w:cs="Arial"/>
          <w:i/>
          <w:sz w:val="22"/>
        </w:rPr>
        <w:t>receita de impostos ou mesmo tributária, pois não foram</w:t>
      </w:r>
      <w:r>
        <w:rPr>
          <w:rFonts w:ascii="Arial" w:eastAsia="Arial" w:hAnsi="Arial" w:cs="Arial"/>
          <w:i/>
          <w:sz w:val="22"/>
        </w:rPr>
        <w:t xml:space="preserve"> </w:t>
      </w:r>
      <w:r w:rsidRPr="00A10B30">
        <w:rPr>
          <w:rFonts w:ascii="Arial" w:eastAsia="Arial" w:hAnsi="Arial" w:cs="Arial"/>
          <w:i/>
          <w:sz w:val="22"/>
        </w:rPr>
        <w:t xml:space="preserve">arrecadadas pelo ente por meio de tributos. </w:t>
      </w:r>
      <w:r w:rsidRPr="00A10B30">
        <w:rPr>
          <w:rFonts w:ascii="Arial" w:eastAsia="Arial" w:hAnsi="Arial" w:cs="Arial"/>
          <w:i/>
          <w:sz w:val="22"/>
        </w:rPr>
        <w:lastRenderedPageBreak/>
        <w:t>Trata-se de</w:t>
      </w:r>
      <w:r>
        <w:rPr>
          <w:rFonts w:ascii="Arial" w:eastAsia="Arial" w:hAnsi="Arial" w:cs="Arial"/>
          <w:i/>
          <w:sz w:val="22"/>
        </w:rPr>
        <w:t xml:space="preserve"> </w:t>
      </w:r>
      <w:r w:rsidRPr="00A10B30">
        <w:rPr>
          <w:rFonts w:ascii="Arial" w:eastAsia="Arial" w:hAnsi="Arial" w:cs="Arial"/>
          <w:i/>
          <w:sz w:val="22"/>
        </w:rPr>
        <w:t>ingresso corrente derivada da repartição constitucional de</w:t>
      </w:r>
      <w:r>
        <w:rPr>
          <w:rFonts w:ascii="Arial" w:eastAsia="Arial" w:hAnsi="Arial" w:cs="Arial"/>
          <w:i/>
          <w:sz w:val="22"/>
        </w:rPr>
        <w:t xml:space="preserve"> </w:t>
      </w:r>
      <w:r w:rsidRPr="00A10B30">
        <w:rPr>
          <w:rFonts w:ascii="Arial" w:eastAsia="Arial" w:hAnsi="Arial" w:cs="Arial"/>
          <w:i/>
          <w:sz w:val="22"/>
        </w:rPr>
        <w:t>receitas prevista na Constituição -- mais especificamente, de</w:t>
      </w:r>
      <w:r>
        <w:rPr>
          <w:rFonts w:ascii="Arial" w:eastAsia="Arial" w:hAnsi="Arial" w:cs="Arial"/>
          <w:i/>
          <w:sz w:val="22"/>
        </w:rPr>
        <w:t xml:space="preserve"> </w:t>
      </w:r>
      <w:r w:rsidRPr="00A10B30">
        <w:rPr>
          <w:rFonts w:ascii="Arial" w:eastAsia="Arial" w:hAnsi="Arial" w:cs="Arial"/>
          <w:i/>
          <w:sz w:val="22"/>
        </w:rPr>
        <w:t>transferências correntes, cf. art. 11 da Lei federal nº 4.320.</w:t>
      </w:r>
      <w:r>
        <w:rPr>
          <w:rFonts w:ascii="Arial" w:eastAsia="Arial" w:hAnsi="Arial" w:cs="Arial"/>
          <w:i/>
          <w:sz w:val="22"/>
        </w:rPr>
        <w:t xml:space="preserve"> </w:t>
      </w:r>
      <w:r w:rsidRPr="00A10B30">
        <w:rPr>
          <w:rFonts w:ascii="Arial" w:eastAsia="Arial" w:hAnsi="Arial" w:cs="Arial"/>
          <w:i/>
          <w:sz w:val="22"/>
        </w:rPr>
        <w:t>Portanto, se para o Estado a receita derivada da arrecadação</w:t>
      </w:r>
      <w:r>
        <w:rPr>
          <w:rFonts w:ascii="Arial" w:eastAsia="Arial" w:hAnsi="Arial" w:cs="Arial"/>
          <w:i/>
          <w:sz w:val="22"/>
        </w:rPr>
        <w:t xml:space="preserve"> </w:t>
      </w:r>
      <w:r w:rsidRPr="00A10B30">
        <w:rPr>
          <w:rFonts w:ascii="Arial" w:eastAsia="Arial" w:hAnsi="Arial" w:cs="Arial"/>
          <w:i/>
          <w:sz w:val="22"/>
        </w:rPr>
        <w:t>de ICMS seria uma &amp;#</w:t>
      </w:r>
      <w:proofErr w:type="gramStart"/>
      <w:r w:rsidRPr="00A10B30">
        <w:rPr>
          <w:rFonts w:ascii="Arial" w:eastAsia="Arial" w:hAnsi="Arial" w:cs="Arial"/>
          <w:i/>
          <w:sz w:val="22"/>
        </w:rPr>
        <w:t>39;</w:t>
      </w:r>
      <w:proofErr w:type="gramEnd"/>
      <w:r w:rsidRPr="00A10B30">
        <w:rPr>
          <w:rFonts w:ascii="Arial" w:eastAsia="Arial" w:hAnsi="Arial" w:cs="Arial"/>
          <w:i/>
          <w:sz w:val="22"/>
        </w:rPr>
        <w:t>receita de impostos&amp;#39; (não passível de</w:t>
      </w:r>
      <w:r>
        <w:rPr>
          <w:rFonts w:ascii="Arial" w:eastAsia="Arial" w:hAnsi="Arial" w:cs="Arial"/>
          <w:i/>
          <w:sz w:val="22"/>
        </w:rPr>
        <w:t xml:space="preserve"> </w:t>
      </w:r>
      <w:r w:rsidRPr="00A10B30">
        <w:rPr>
          <w:rFonts w:ascii="Arial" w:eastAsia="Arial" w:hAnsi="Arial" w:cs="Arial"/>
          <w:i/>
          <w:sz w:val="22"/>
        </w:rPr>
        <w:t>vinculação, portanto), para os Municípios recebedores da</w:t>
      </w:r>
      <w:r>
        <w:rPr>
          <w:rFonts w:ascii="Arial" w:eastAsia="Arial" w:hAnsi="Arial" w:cs="Arial"/>
          <w:i/>
          <w:sz w:val="22"/>
        </w:rPr>
        <w:t xml:space="preserve"> </w:t>
      </w:r>
      <w:r w:rsidRPr="00A10B30">
        <w:rPr>
          <w:rFonts w:ascii="Arial" w:eastAsia="Arial" w:hAnsi="Arial" w:cs="Arial"/>
          <w:i/>
          <w:sz w:val="22"/>
        </w:rPr>
        <w:t xml:space="preserve">transferência constitucional seria uma receita </w:t>
      </w:r>
      <w:proofErr w:type="spellStart"/>
      <w:r w:rsidRPr="00A10B30">
        <w:rPr>
          <w:rFonts w:ascii="Arial" w:eastAsia="Arial" w:hAnsi="Arial" w:cs="Arial"/>
          <w:i/>
          <w:sz w:val="22"/>
        </w:rPr>
        <w:t>não-tributária</w:t>
      </w:r>
      <w:proofErr w:type="spellEnd"/>
      <w:r w:rsidRPr="00A10B30">
        <w:rPr>
          <w:rFonts w:ascii="Arial" w:eastAsia="Arial" w:hAnsi="Arial" w:cs="Arial"/>
          <w:i/>
          <w:sz w:val="22"/>
        </w:rPr>
        <w:t>.</w:t>
      </w:r>
      <w:r>
        <w:rPr>
          <w:rFonts w:ascii="Arial" w:eastAsia="Arial" w:hAnsi="Arial" w:cs="Arial"/>
          <w:i/>
          <w:sz w:val="22"/>
        </w:rPr>
        <w:t xml:space="preserve"> </w:t>
      </w:r>
      <w:r w:rsidRPr="00A10B30">
        <w:rPr>
          <w:rFonts w:ascii="Arial" w:eastAsia="Arial" w:hAnsi="Arial" w:cs="Arial"/>
          <w:i/>
          <w:sz w:val="22"/>
        </w:rPr>
        <w:t>Ela perderia, portanto, a qualidade de&amp;#39; receita de impostos&amp;#39</w:t>
      </w:r>
      <w:proofErr w:type="gramStart"/>
      <w:r w:rsidRPr="00A10B30">
        <w:rPr>
          <w:rFonts w:ascii="Arial" w:eastAsia="Arial" w:hAnsi="Arial" w:cs="Arial"/>
          <w:i/>
          <w:sz w:val="22"/>
        </w:rPr>
        <w:t>;.</w:t>
      </w:r>
      <w:proofErr w:type="gramEnd"/>
      <w:r>
        <w:rPr>
          <w:rFonts w:ascii="Arial" w:eastAsia="Arial" w:hAnsi="Arial" w:cs="Arial"/>
          <w:i/>
          <w:sz w:val="22"/>
        </w:rPr>
        <w:t xml:space="preserve"> </w:t>
      </w:r>
      <w:r w:rsidRPr="00A10B30">
        <w:rPr>
          <w:rFonts w:ascii="Arial" w:eastAsia="Arial" w:hAnsi="Arial" w:cs="Arial"/>
          <w:i/>
          <w:sz w:val="22"/>
        </w:rPr>
        <w:t>[...]</w:t>
      </w:r>
    </w:p>
    <w:p w:rsidR="00A10B30" w:rsidRPr="00A10B30" w:rsidRDefault="00A10B30" w:rsidP="00A10B30">
      <w:pPr>
        <w:spacing w:line="360" w:lineRule="auto"/>
        <w:ind w:left="3402"/>
        <w:jc w:val="both"/>
        <w:rPr>
          <w:rFonts w:ascii="Arial" w:eastAsia="Arial" w:hAnsi="Arial" w:cs="Arial"/>
          <w:i/>
          <w:sz w:val="22"/>
        </w:rPr>
      </w:pPr>
      <w:r w:rsidRPr="00A10B30">
        <w:rPr>
          <w:rFonts w:ascii="Arial" w:eastAsia="Arial" w:hAnsi="Arial" w:cs="Arial"/>
          <w:i/>
          <w:sz w:val="22"/>
        </w:rPr>
        <w:t>Ademais, parece-nos que, se o constituinte pretendesse incluir</w:t>
      </w:r>
      <w:r>
        <w:rPr>
          <w:rFonts w:ascii="Arial" w:eastAsia="Arial" w:hAnsi="Arial" w:cs="Arial"/>
          <w:i/>
          <w:sz w:val="22"/>
        </w:rPr>
        <w:t xml:space="preserve"> </w:t>
      </w:r>
      <w:r w:rsidRPr="00A10B30">
        <w:rPr>
          <w:rFonts w:ascii="Arial" w:eastAsia="Arial" w:hAnsi="Arial" w:cs="Arial"/>
          <w:i/>
          <w:sz w:val="22"/>
        </w:rPr>
        <w:t>na vedação de vinculação a receita oriunda das transferências</w:t>
      </w:r>
      <w:r>
        <w:rPr>
          <w:rFonts w:ascii="Arial" w:eastAsia="Arial" w:hAnsi="Arial" w:cs="Arial"/>
          <w:i/>
          <w:sz w:val="22"/>
        </w:rPr>
        <w:t xml:space="preserve"> </w:t>
      </w:r>
      <w:r w:rsidRPr="00A10B30">
        <w:rPr>
          <w:rFonts w:ascii="Arial" w:eastAsia="Arial" w:hAnsi="Arial" w:cs="Arial"/>
          <w:i/>
          <w:sz w:val="22"/>
        </w:rPr>
        <w:t>constitucionais, ele poderia tê-lo feito de forma expressa,</w:t>
      </w:r>
      <w:r>
        <w:rPr>
          <w:rFonts w:ascii="Arial" w:eastAsia="Arial" w:hAnsi="Arial" w:cs="Arial"/>
          <w:i/>
          <w:sz w:val="22"/>
        </w:rPr>
        <w:t xml:space="preserve"> </w:t>
      </w:r>
      <w:r w:rsidRPr="00A10B30">
        <w:rPr>
          <w:rFonts w:ascii="Arial" w:eastAsia="Arial" w:hAnsi="Arial" w:cs="Arial"/>
          <w:i/>
          <w:sz w:val="22"/>
        </w:rPr>
        <w:t>proibindo a vinculação da receita de impostos e da receita</w:t>
      </w:r>
      <w:r>
        <w:rPr>
          <w:rFonts w:ascii="Arial" w:eastAsia="Arial" w:hAnsi="Arial" w:cs="Arial"/>
          <w:i/>
          <w:sz w:val="22"/>
        </w:rPr>
        <w:t xml:space="preserve"> </w:t>
      </w:r>
      <w:r w:rsidRPr="00A10B30">
        <w:rPr>
          <w:rFonts w:ascii="Arial" w:eastAsia="Arial" w:hAnsi="Arial" w:cs="Arial"/>
          <w:i/>
          <w:sz w:val="22"/>
        </w:rPr>
        <w:t>oriunda de transferências derivadas da repartição da receita de</w:t>
      </w:r>
      <w:r>
        <w:rPr>
          <w:rFonts w:ascii="Arial" w:eastAsia="Arial" w:hAnsi="Arial" w:cs="Arial"/>
          <w:i/>
          <w:sz w:val="22"/>
        </w:rPr>
        <w:t xml:space="preserve"> </w:t>
      </w:r>
      <w:r w:rsidRPr="00A10B30">
        <w:rPr>
          <w:rFonts w:ascii="Arial" w:eastAsia="Arial" w:hAnsi="Arial" w:cs="Arial"/>
          <w:i/>
          <w:sz w:val="22"/>
        </w:rPr>
        <w:t>impostos. Ou poderia ter proibido a vinculação de qualquer</w:t>
      </w:r>
      <w:r>
        <w:rPr>
          <w:rFonts w:ascii="Arial" w:eastAsia="Arial" w:hAnsi="Arial" w:cs="Arial"/>
          <w:i/>
          <w:sz w:val="22"/>
        </w:rPr>
        <w:t xml:space="preserve"> </w:t>
      </w:r>
      <w:r w:rsidRPr="00A10B30">
        <w:rPr>
          <w:rFonts w:ascii="Arial" w:eastAsia="Arial" w:hAnsi="Arial" w:cs="Arial"/>
          <w:i/>
          <w:sz w:val="22"/>
        </w:rPr>
        <w:t>receita tributária, salvo as receitas dos tributos naturalmente</w:t>
      </w:r>
      <w:r>
        <w:rPr>
          <w:rFonts w:ascii="Arial" w:eastAsia="Arial" w:hAnsi="Arial" w:cs="Arial"/>
          <w:i/>
          <w:sz w:val="22"/>
        </w:rPr>
        <w:t xml:space="preserve"> </w:t>
      </w:r>
      <w:r w:rsidRPr="00A10B30">
        <w:rPr>
          <w:rFonts w:ascii="Arial" w:eastAsia="Arial" w:hAnsi="Arial" w:cs="Arial"/>
          <w:i/>
          <w:sz w:val="22"/>
        </w:rPr>
        <w:t>vinculados (taxas e contribuições). Vale ressaltar que a</w:t>
      </w:r>
      <w:r>
        <w:rPr>
          <w:rFonts w:ascii="Arial" w:eastAsia="Arial" w:hAnsi="Arial" w:cs="Arial"/>
          <w:i/>
          <w:sz w:val="22"/>
        </w:rPr>
        <w:t xml:space="preserve"> </w:t>
      </w:r>
      <w:r w:rsidRPr="00A10B30">
        <w:rPr>
          <w:rFonts w:ascii="Arial" w:eastAsia="Arial" w:hAnsi="Arial" w:cs="Arial"/>
          <w:i/>
          <w:sz w:val="22"/>
        </w:rPr>
        <w:t>repartição das receitas tributárias é tratada, na Constituição,</w:t>
      </w:r>
      <w:r>
        <w:rPr>
          <w:rFonts w:ascii="Arial" w:eastAsia="Arial" w:hAnsi="Arial" w:cs="Arial"/>
          <w:i/>
          <w:sz w:val="22"/>
        </w:rPr>
        <w:t xml:space="preserve"> </w:t>
      </w:r>
      <w:r w:rsidRPr="00A10B30">
        <w:rPr>
          <w:rFonts w:ascii="Arial" w:eastAsia="Arial" w:hAnsi="Arial" w:cs="Arial"/>
          <w:i/>
          <w:sz w:val="22"/>
        </w:rPr>
        <w:t>em seção diversa das seções referentes aos impostos dos entes</w:t>
      </w:r>
      <w:r>
        <w:rPr>
          <w:rFonts w:ascii="Arial" w:eastAsia="Arial" w:hAnsi="Arial" w:cs="Arial"/>
          <w:i/>
          <w:sz w:val="22"/>
        </w:rPr>
        <w:t xml:space="preserve"> </w:t>
      </w:r>
      <w:r w:rsidRPr="00A10B30">
        <w:rPr>
          <w:rFonts w:ascii="Arial" w:eastAsia="Arial" w:hAnsi="Arial" w:cs="Arial"/>
          <w:i/>
          <w:sz w:val="22"/>
        </w:rPr>
        <w:t>federativos.</w:t>
      </w:r>
    </w:p>
    <w:p w:rsidR="00A10B30" w:rsidRPr="00A10B30" w:rsidRDefault="00A10B30" w:rsidP="00A10B30">
      <w:pPr>
        <w:spacing w:line="360" w:lineRule="auto"/>
        <w:ind w:left="3402"/>
        <w:jc w:val="both"/>
        <w:rPr>
          <w:rFonts w:ascii="Arial" w:eastAsia="Arial" w:hAnsi="Arial" w:cs="Arial"/>
          <w:i/>
          <w:sz w:val="22"/>
        </w:rPr>
      </w:pPr>
    </w:p>
    <w:p w:rsidR="00A10B30" w:rsidRPr="00A10B30" w:rsidRDefault="00A10B30" w:rsidP="00A10B30">
      <w:pPr>
        <w:spacing w:line="360" w:lineRule="auto"/>
        <w:ind w:firstLine="1134"/>
        <w:jc w:val="both"/>
        <w:rPr>
          <w:rFonts w:ascii="Arial" w:eastAsia="Arial" w:hAnsi="Arial" w:cs="Arial"/>
        </w:rPr>
      </w:pPr>
      <w:r w:rsidRPr="00A10B30">
        <w:rPr>
          <w:rFonts w:ascii="Arial" w:eastAsia="Arial" w:hAnsi="Arial" w:cs="Arial"/>
        </w:rPr>
        <w:t>A jurisprudência dos Tribunais já admitiu a vinculação das receitas de transferências constitucionais:</w:t>
      </w:r>
    </w:p>
    <w:p w:rsidR="00A10B30" w:rsidRPr="00A10B30" w:rsidRDefault="00A10B30" w:rsidP="00A10B30">
      <w:pPr>
        <w:spacing w:line="360" w:lineRule="auto"/>
        <w:ind w:left="3402"/>
        <w:jc w:val="both"/>
        <w:rPr>
          <w:rFonts w:ascii="Arial" w:eastAsia="Arial" w:hAnsi="Arial" w:cs="Arial"/>
          <w:i/>
          <w:sz w:val="22"/>
        </w:rPr>
      </w:pPr>
    </w:p>
    <w:p w:rsidR="00A10B30" w:rsidRPr="00A10B30" w:rsidRDefault="00A10B30" w:rsidP="00A10B30">
      <w:pPr>
        <w:spacing w:line="360" w:lineRule="auto"/>
        <w:ind w:left="3402"/>
        <w:jc w:val="both"/>
        <w:rPr>
          <w:rFonts w:ascii="Arial" w:eastAsia="Arial" w:hAnsi="Arial" w:cs="Arial"/>
          <w:i/>
          <w:sz w:val="22"/>
        </w:rPr>
      </w:pPr>
      <w:r w:rsidRPr="00A10B30">
        <w:rPr>
          <w:rFonts w:ascii="Arial" w:eastAsia="Arial" w:hAnsi="Arial" w:cs="Arial"/>
          <w:i/>
          <w:sz w:val="22"/>
        </w:rPr>
        <w:t>ARGUIÇÃO DE INCONSTITUCIONALIDADE - NORMA</w:t>
      </w:r>
    </w:p>
    <w:p w:rsidR="00A10B30" w:rsidRPr="00A10B30" w:rsidRDefault="00A10B30" w:rsidP="00A10B30">
      <w:pPr>
        <w:spacing w:line="360" w:lineRule="auto"/>
        <w:ind w:left="3402"/>
        <w:jc w:val="both"/>
        <w:rPr>
          <w:rFonts w:ascii="Arial" w:eastAsia="Arial" w:hAnsi="Arial" w:cs="Arial"/>
          <w:i/>
          <w:sz w:val="22"/>
        </w:rPr>
      </w:pPr>
      <w:r w:rsidRPr="00A10B30">
        <w:rPr>
          <w:rFonts w:ascii="Arial" w:eastAsia="Arial" w:hAnsi="Arial" w:cs="Arial"/>
          <w:i/>
          <w:sz w:val="22"/>
        </w:rPr>
        <w:t>MUNICIPAL AUTORIZANDO O PODER EXECUTIVO A VINCULAR</w:t>
      </w:r>
      <w:r>
        <w:rPr>
          <w:rFonts w:ascii="Arial" w:eastAsia="Arial" w:hAnsi="Arial" w:cs="Arial"/>
          <w:i/>
          <w:sz w:val="22"/>
        </w:rPr>
        <w:t xml:space="preserve"> </w:t>
      </w:r>
      <w:r w:rsidRPr="00A10B30">
        <w:rPr>
          <w:rFonts w:ascii="Arial" w:eastAsia="Arial" w:hAnsi="Arial" w:cs="Arial"/>
          <w:i/>
          <w:sz w:val="22"/>
        </w:rPr>
        <w:t>REPASSE DE ICMS AO CUMPRIMENTO DE OBRIGAÇÃO</w:t>
      </w:r>
      <w:r>
        <w:rPr>
          <w:rFonts w:ascii="Arial" w:eastAsia="Arial" w:hAnsi="Arial" w:cs="Arial"/>
          <w:i/>
          <w:sz w:val="22"/>
        </w:rPr>
        <w:t xml:space="preserve"> </w:t>
      </w:r>
      <w:r w:rsidRPr="00A10B30">
        <w:rPr>
          <w:rFonts w:ascii="Arial" w:eastAsia="Arial" w:hAnsi="Arial" w:cs="Arial"/>
          <w:i/>
          <w:sz w:val="22"/>
        </w:rPr>
        <w:t>CELEBRADA COM CONCESSIONÁRIA DE SERVIÇO PÚBLICO -</w:t>
      </w:r>
      <w:r>
        <w:rPr>
          <w:rFonts w:ascii="Arial" w:eastAsia="Arial" w:hAnsi="Arial" w:cs="Arial"/>
          <w:i/>
          <w:sz w:val="22"/>
        </w:rPr>
        <w:t xml:space="preserve"> </w:t>
      </w:r>
      <w:r w:rsidRPr="00A10B30">
        <w:rPr>
          <w:rFonts w:ascii="Arial" w:eastAsia="Arial" w:hAnsi="Arial" w:cs="Arial"/>
          <w:i/>
          <w:sz w:val="22"/>
        </w:rPr>
        <w:t xml:space="preserve">VEDAÇÃO DO ART. 167, IV, CF - INAPLICABILIDADE </w:t>
      </w:r>
      <w:r>
        <w:rPr>
          <w:rFonts w:ascii="Arial" w:eastAsia="Arial" w:hAnsi="Arial" w:cs="Arial"/>
          <w:i/>
          <w:sz w:val="22"/>
        </w:rPr>
        <w:t>–</w:t>
      </w:r>
      <w:r w:rsidRPr="00A10B30">
        <w:rPr>
          <w:rFonts w:ascii="Arial" w:eastAsia="Arial" w:hAnsi="Arial" w:cs="Arial"/>
          <w:i/>
          <w:sz w:val="22"/>
        </w:rPr>
        <w:t xml:space="preserve"> NORMA</w:t>
      </w:r>
      <w:r>
        <w:rPr>
          <w:rFonts w:ascii="Arial" w:eastAsia="Arial" w:hAnsi="Arial" w:cs="Arial"/>
          <w:i/>
          <w:sz w:val="22"/>
        </w:rPr>
        <w:t xml:space="preserve"> </w:t>
      </w:r>
      <w:r w:rsidRPr="00A10B30">
        <w:rPr>
          <w:rFonts w:ascii="Arial" w:eastAsia="Arial" w:hAnsi="Arial" w:cs="Arial"/>
          <w:i/>
          <w:sz w:val="22"/>
        </w:rPr>
        <w:t>QUE SE APLICA APENAS AOS TRIBUTOS PRÓPRIOS E NÃO AOS</w:t>
      </w:r>
      <w:r>
        <w:rPr>
          <w:rFonts w:ascii="Arial" w:eastAsia="Arial" w:hAnsi="Arial" w:cs="Arial"/>
          <w:i/>
          <w:sz w:val="22"/>
        </w:rPr>
        <w:t xml:space="preserve"> </w:t>
      </w:r>
      <w:r w:rsidRPr="00A10B30">
        <w:rPr>
          <w:rFonts w:ascii="Arial" w:eastAsia="Arial" w:hAnsi="Arial" w:cs="Arial"/>
          <w:i/>
          <w:sz w:val="22"/>
        </w:rPr>
        <w:t>REPASSES - ORIENTAÇÃO SEDIMENTADA PELO PRETÓRIO</w:t>
      </w:r>
      <w:r>
        <w:rPr>
          <w:rFonts w:ascii="Arial" w:eastAsia="Arial" w:hAnsi="Arial" w:cs="Arial"/>
          <w:i/>
          <w:sz w:val="22"/>
        </w:rPr>
        <w:t xml:space="preserve"> </w:t>
      </w:r>
      <w:r w:rsidRPr="00A10B30">
        <w:rPr>
          <w:rFonts w:ascii="Arial" w:eastAsia="Arial" w:hAnsi="Arial" w:cs="Arial"/>
          <w:i/>
          <w:sz w:val="22"/>
        </w:rPr>
        <w:t>EXCELSO. 1. O e. Supremo Tribunal Federal, a quem compete</w:t>
      </w:r>
      <w:r>
        <w:rPr>
          <w:rFonts w:ascii="Arial" w:eastAsia="Arial" w:hAnsi="Arial" w:cs="Arial"/>
          <w:i/>
          <w:sz w:val="22"/>
        </w:rPr>
        <w:t xml:space="preserve"> </w:t>
      </w:r>
      <w:r w:rsidRPr="00A10B30">
        <w:rPr>
          <w:rFonts w:ascii="Arial" w:eastAsia="Arial" w:hAnsi="Arial" w:cs="Arial"/>
          <w:i/>
          <w:sz w:val="22"/>
        </w:rPr>
        <w:t xml:space="preserve">em última instância consolidar </w:t>
      </w:r>
      <w:r w:rsidRPr="00A10B30">
        <w:rPr>
          <w:rFonts w:ascii="Arial" w:eastAsia="Arial" w:hAnsi="Arial" w:cs="Arial"/>
          <w:i/>
          <w:sz w:val="22"/>
        </w:rPr>
        <w:lastRenderedPageBreak/>
        <w:t>exegese sobre o conteúdo de</w:t>
      </w:r>
      <w:r>
        <w:rPr>
          <w:rFonts w:ascii="Arial" w:eastAsia="Arial" w:hAnsi="Arial" w:cs="Arial"/>
          <w:i/>
          <w:sz w:val="22"/>
        </w:rPr>
        <w:t xml:space="preserve"> </w:t>
      </w:r>
      <w:r w:rsidRPr="00A10B30">
        <w:rPr>
          <w:rFonts w:ascii="Arial" w:eastAsia="Arial" w:hAnsi="Arial" w:cs="Arial"/>
          <w:i/>
          <w:sz w:val="22"/>
        </w:rPr>
        <w:t>norma constitucional, sedimentou entendimento no sentido</w:t>
      </w:r>
      <w:r>
        <w:rPr>
          <w:rFonts w:ascii="Arial" w:eastAsia="Arial" w:hAnsi="Arial" w:cs="Arial"/>
          <w:i/>
          <w:sz w:val="22"/>
        </w:rPr>
        <w:t xml:space="preserve"> </w:t>
      </w:r>
      <w:r w:rsidRPr="00A10B30">
        <w:rPr>
          <w:rFonts w:ascii="Arial" w:eastAsia="Arial" w:hAnsi="Arial" w:cs="Arial"/>
          <w:i/>
          <w:sz w:val="22"/>
        </w:rPr>
        <w:t xml:space="preserve">de que a vedação de que trata o inciso IV, do </w:t>
      </w:r>
      <w:proofErr w:type="spellStart"/>
      <w:r w:rsidRPr="00A10B30">
        <w:rPr>
          <w:rFonts w:ascii="Arial" w:eastAsia="Arial" w:hAnsi="Arial" w:cs="Arial"/>
          <w:i/>
          <w:sz w:val="22"/>
        </w:rPr>
        <w:t>art</w:t>
      </w:r>
      <w:proofErr w:type="spellEnd"/>
      <w:r w:rsidRPr="00A10B30">
        <w:rPr>
          <w:rFonts w:ascii="Arial" w:eastAsia="Arial" w:hAnsi="Arial" w:cs="Arial"/>
          <w:i/>
          <w:sz w:val="22"/>
        </w:rPr>
        <w:t xml:space="preserve"> 167, da lei</w:t>
      </w:r>
      <w:r>
        <w:rPr>
          <w:rFonts w:ascii="Arial" w:eastAsia="Arial" w:hAnsi="Arial" w:cs="Arial"/>
          <w:i/>
          <w:sz w:val="22"/>
        </w:rPr>
        <w:t xml:space="preserve"> </w:t>
      </w:r>
      <w:r w:rsidRPr="00A10B30">
        <w:rPr>
          <w:rFonts w:ascii="Arial" w:eastAsia="Arial" w:hAnsi="Arial" w:cs="Arial"/>
          <w:i/>
          <w:sz w:val="22"/>
        </w:rPr>
        <w:t>maior, não se aplica aos repasses de ICMS. Destarte, como o</w:t>
      </w:r>
      <w:r>
        <w:rPr>
          <w:rFonts w:ascii="Arial" w:eastAsia="Arial" w:hAnsi="Arial" w:cs="Arial"/>
          <w:i/>
          <w:sz w:val="22"/>
        </w:rPr>
        <w:t xml:space="preserve"> </w:t>
      </w:r>
      <w:r w:rsidRPr="00A10B30">
        <w:rPr>
          <w:rFonts w:ascii="Arial" w:eastAsia="Arial" w:hAnsi="Arial" w:cs="Arial"/>
          <w:i/>
          <w:sz w:val="22"/>
        </w:rPr>
        <w:t>art. 160, da Constituição Federal, trata de limitação imposta</w:t>
      </w:r>
      <w:r>
        <w:rPr>
          <w:rFonts w:ascii="Arial" w:eastAsia="Arial" w:hAnsi="Arial" w:cs="Arial"/>
          <w:i/>
          <w:sz w:val="22"/>
        </w:rPr>
        <w:t xml:space="preserve"> </w:t>
      </w:r>
      <w:r w:rsidRPr="00A10B30">
        <w:rPr>
          <w:rFonts w:ascii="Arial" w:eastAsia="Arial" w:hAnsi="Arial" w:cs="Arial"/>
          <w:i/>
          <w:sz w:val="22"/>
        </w:rPr>
        <w:t xml:space="preserve">ao ente responsável pela realização da transferência, e </w:t>
      </w:r>
      <w:proofErr w:type="gramStart"/>
      <w:r w:rsidRPr="00A10B30">
        <w:rPr>
          <w:rFonts w:ascii="Arial" w:eastAsia="Arial" w:hAnsi="Arial" w:cs="Arial"/>
          <w:i/>
          <w:sz w:val="22"/>
        </w:rPr>
        <w:t>não</w:t>
      </w:r>
      <w:proofErr w:type="gramEnd"/>
    </w:p>
    <w:p w:rsidR="00A10B30" w:rsidRPr="00A10B30" w:rsidRDefault="00A10B30" w:rsidP="00A10B30">
      <w:pPr>
        <w:spacing w:line="360" w:lineRule="auto"/>
        <w:ind w:left="3402"/>
        <w:jc w:val="both"/>
        <w:rPr>
          <w:rFonts w:ascii="Arial" w:eastAsia="Arial" w:hAnsi="Arial" w:cs="Arial"/>
          <w:i/>
          <w:sz w:val="22"/>
        </w:rPr>
      </w:pPr>
      <w:proofErr w:type="gramStart"/>
      <w:r w:rsidRPr="00A10B30">
        <w:rPr>
          <w:rFonts w:ascii="Arial" w:eastAsia="Arial" w:hAnsi="Arial" w:cs="Arial"/>
          <w:i/>
          <w:sz w:val="22"/>
        </w:rPr>
        <w:t>àquele</w:t>
      </w:r>
      <w:proofErr w:type="gramEnd"/>
      <w:r w:rsidRPr="00A10B30">
        <w:rPr>
          <w:rFonts w:ascii="Arial" w:eastAsia="Arial" w:hAnsi="Arial" w:cs="Arial"/>
          <w:i/>
          <w:sz w:val="22"/>
        </w:rPr>
        <w:t xml:space="preserve"> por ela beneficiada, constitucional a norma municipal</w:t>
      </w:r>
      <w:r>
        <w:rPr>
          <w:rFonts w:ascii="Arial" w:eastAsia="Arial" w:hAnsi="Arial" w:cs="Arial"/>
          <w:i/>
          <w:sz w:val="22"/>
        </w:rPr>
        <w:t xml:space="preserve"> </w:t>
      </w:r>
      <w:r w:rsidRPr="00A10B30">
        <w:rPr>
          <w:rFonts w:ascii="Arial" w:eastAsia="Arial" w:hAnsi="Arial" w:cs="Arial"/>
          <w:i/>
          <w:sz w:val="22"/>
        </w:rPr>
        <w:t>que autoriza o Poder Executivo a vincular transferências de</w:t>
      </w:r>
      <w:r>
        <w:rPr>
          <w:rFonts w:ascii="Arial" w:eastAsia="Arial" w:hAnsi="Arial" w:cs="Arial"/>
          <w:i/>
          <w:sz w:val="22"/>
        </w:rPr>
        <w:t xml:space="preserve"> </w:t>
      </w:r>
      <w:r w:rsidRPr="00A10B30">
        <w:rPr>
          <w:rFonts w:ascii="Arial" w:eastAsia="Arial" w:hAnsi="Arial" w:cs="Arial"/>
          <w:i/>
          <w:sz w:val="22"/>
        </w:rPr>
        <w:t>ICMS ao cumprimento de obrigação celebrada com</w:t>
      </w:r>
      <w:r>
        <w:rPr>
          <w:rFonts w:ascii="Arial" w:eastAsia="Arial" w:hAnsi="Arial" w:cs="Arial"/>
          <w:i/>
          <w:sz w:val="22"/>
        </w:rPr>
        <w:t xml:space="preserve"> </w:t>
      </w:r>
      <w:r w:rsidRPr="00A10B30">
        <w:rPr>
          <w:rFonts w:ascii="Arial" w:eastAsia="Arial" w:hAnsi="Arial" w:cs="Arial"/>
          <w:i/>
          <w:sz w:val="22"/>
        </w:rPr>
        <w:t>concessionária de serviço público. 2. Arguição julgada</w:t>
      </w:r>
      <w:r>
        <w:rPr>
          <w:rFonts w:ascii="Arial" w:eastAsia="Arial" w:hAnsi="Arial" w:cs="Arial"/>
          <w:i/>
          <w:sz w:val="22"/>
        </w:rPr>
        <w:t xml:space="preserve"> </w:t>
      </w:r>
      <w:r w:rsidRPr="00A10B30">
        <w:rPr>
          <w:rFonts w:ascii="Arial" w:eastAsia="Arial" w:hAnsi="Arial" w:cs="Arial"/>
          <w:i/>
          <w:sz w:val="22"/>
        </w:rPr>
        <w:t>improcedente. (Arguição de Inconstitucionalidade n° 0142749-</w:t>
      </w:r>
      <w:r>
        <w:rPr>
          <w:rFonts w:ascii="Arial" w:eastAsia="Arial" w:hAnsi="Arial" w:cs="Arial"/>
          <w:i/>
          <w:sz w:val="22"/>
        </w:rPr>
        <w:t xml:space="preserve"> </w:t>
      </w:r>
      <w:r w:rsidRPr="00A10B30">
        <w:rPr>
          <w:rFonts w:ascii="Arial" w:eastAsia="Arial" w:hAnsi="Arial" w:cs="Arial"/>
          <w:i/>
          <w:sz w:val="22"/>
        </w:rPr>
        <w:t>60.2011.8.26.0000, Órgão Especial, data do julgamento</w:t>
      </w:r>
      <w:r>
        <w:rPr>
          <w:rFonts w:ascii="Arial" w:eastAsia="Arial" w:hAnsi="Arial" w:cs="Arial"/>
          <w:i/>
          <w:sz w:val="22"/>
        </w:rPr>
        <w:t xml:space="preserve"> </w:t>
      </w:r>
      <w:r w:rsidRPr="00A10B30">
        <w:rPr>
          <w:rFonts w:ascii="Arial" w:eastAsia="Arial" w:hAnsi="Arial" w:cs="Arial"/>
          <w:i/>
          <w:sz w:val="22"/>
        </w:rPr>
        <w:t>14/09/2011, Relator Artur Marques).</w:t>
      </w:r>
    </w:p>
    <w:p w:rsidR="00A10B30" w:rsidRPr="00A10B30" w:rsidRDefault="00A10B30" w:rsidP="00A10B30">
      <w:pPr>
        <w:spacing w:line="360" w:lineRule="auto"/>
        <w:ind w:left="3402"/>
        <w:jc w:val="both"/>
        <w:rPr>
          <w:rFonts w:ascii="Arial" w:eastAsia="Arial" w:hAnsi="Arial" w:cs="Arial"/>
          <w:i/>
          <w:sz w:val="22"/>
        </w:rPr>
      </w:pPr>
    </w:p>
    <w:p w:rsidR="002D01FE" w:rsidRPr="00A10B30" w:rsidRDefault="00A10B30" w:rsidP="00A10B30">
      <w:pPr>
        <w:spacing w:line="360" w:lineRule="auto"/>
        <w:ind w:firstLine="1134"/>
        <w:jc w:val="both"/>
        <w:rPr>
          <w:rFonts w:ascii="Arial" w:eastAsia="Arial" w:hAnsi="Arial" w:cs="Arial"/>
        </w:rPr>
      </w:pPr>
      <w:r w:rsidRPr="00A10B30">
        <w:rPr>
          <w:rFonts w:ascii="Arial" w:eastAsia="Arial" w:hAnsi="Arial" w:cs="Arial"/>
        </w:rPr>
        <w:t> Embora haja divergência (</w:t>
      </w:r>
      <w:proofErr w:type="gramStart"/>
      <w:r w:rsidRPr="00A10B30">
        <w:rPr>
          <w:rFonts w:ascii="Arial" w:eastAsia="Arial" w:hAnsi="Arial" w:cs="Arial"/>
        </w:rPr>
        <w:t>AG.</w:t>
      </w:r>
      <w:proofErr w:type="gramEnd"/>
      <w:r w:rsidRPr="00A10B30">
        <w:rPr>
          <w:rFonts w:ascii="Arial" w:eastAsia="Arial" w:hAnsi="Arial" w:cs="Arial"/>
        </w:rPr>
        <w:t>REG. NO RECURSO EXTRAORDINÁRIO COM AGRAVO 665.291/RS, Primeira Turma, Relator Min. Roberto Barroso, 16/02/2016), também há precedente do STF afirmando que a vedação do art. 167, inciso IV, da Constituição Federal só alcança os tributos da competência própria do ente político, já que as receitas decorrentes de transferências constitucionais não teriam natureza de</w:t>
      </w:r>
      <w:r>
        <w:rPr>
          <w:rFonts w:ascii="Arial" w:eastAsia="Arial" w:hAnsi="Arial" w:cs="Arial"/>
        </w:rPr>
        <w:t xml:space="preserve"> </w:t>
      </w:r>
      <w:r w:rsidRPr="00A10B30">
        <w:rPr>
          <w:rFonts w:ascii="Arial" w:eastAsia="Arial" w:hAnsi="Arial" w:cs="Arial"/>
        </w:rPr>
        <w:t>receitas de impostos:</w:t>
      </w:r>
    </w:p>
    <w:p w:rsidR="00A10B30" w:rsidRDefault="00A10B30" w:rsidP="00A10B30">
      <w:pPr>
        <w:spacing w:line="360" w:lineRule="auto"/>
        <w:ind w:left="3402"/>
        <w:jc w:val="both"/>
        <w:rPr>
          <w:rFonts w:ascii="Arial" w:eastAsia="Arial" w:hAnsi="Arial" w:cs="Arial"/>
          <w:i/>
          <w:sz w:val="22"/>
        </w:rPr>
      </w:pPr>
    </w:p>
    <w:p w:rsidR="00A10B30" w:rsidRPr="00A10B30" w:rsidRDefault="00A10B30" w:rsidP="00A10B30">
      <w:pPr>
        <w:spacing w:line="360" w:lineRule="auto"/>
        <w:ind w:left="3402"/>
        <w:jc w:val="both"/>
        <w:rPr>
          <w:rFonts w:ascii="Arial" w:eastAsia="Arial" w:hAnsi="Arial" w:cs="Arial"/>
          <w:i/>
          <w:sz w:val="22"/>
        </w:rPr>
      </w:pPr>
      <w:r w:rsidRPr="00A10B30">
        <w:rPr>
          <w:rFonts w:ascii="Arial" w:eastAsia="Arial" w:hAnsi="Arial" w:cs="Arial"/>
          <w:i/>
          <w:sz w:val="22"/>
        </w:rPr>
        <w:t>RECURSO EXTRAORDINÁRIO - MOLDURA FÁTICA. Na</w:t>
      </w:r>
      <w:r>
        <w:rPr>
          <w:rFonts w:ascii="Arial" w:eastAsia="Arial" w:hAnsi="Arial" w:cs="Arial"/>
          <w:i/>
          <w:sz w:val="22"/>
        </w:rPr>
        <w:t xml:space="preserve"> </w:t>
      </w:r>
      <w:r w:rsidRPr="00A10B30">
        <w:rPr>
          <w:rFonts w:ascii="Arial" w:eastAsia="Arial" w:hAnsi="Arial" w:cs="Arial"/>
          <w:i/>
          <w:sz w:val="22"/>
        </w:rPr>
        <w:t>apreciação do enquadramento do recurso extraordinário em</w:t>
      </w:r>
      <w:r>
        <w:rPr>
          <w:rFonts w:ascii="Arial" w:eastAsia="Arial" w:hAnsi="Arial" w:cs="Arial"/>
          <w:i/>
          <w:sz w:val="22"/>
        </w:rPr>
        <w:t xml:space="preserve"> </w:t>
      </w:r>
      <w:r w:rsidRPr="00A10B30">
        <w:rPr>
          <w:rFonts w:ascii="Arial" w:eastAsia="Arial" w:hAnsi="Arial" w:cs="Arial"/>
          <w:i/>
          <w:sz w:val="22"/>
        </w:rPr>
        <w:t>um dos permissivos constitucionais, parte-se da moldura fática</w:t>
      </w:r>
      <w:r>
        <w:rPr>
          <w:rFonts w:ascii="Arial" w:eastAsia="Arial" w:hAnsi="Arial" w:cs="Arial"/>
          <w:i/>
          <w:sz w:val="22"/>
        </w:rPr>
        <w:t xml:space="preserve"> </w:t>
      </w:r>
      <w:r w:rsidRPr="00A10B30">
        <w:rPr>
          <w:rFonts w:ascii="Arial" w:eastAsia="Arial" w:hAnsi="Arial" w:cs="Arial"/>
          <w:i/>
          <w:sz w:val="22"/>
        </w:rPr>
        <w:t>delineada pela Corte de origem. Impossível é pretender</w:t>
      </w:r>
      <w:r>
        <w:rPr>
          <w:rFonts w:ascii="Arial" w:eastAsia="Arial" w:hAnsi="Arial" w:cs="Arial"/>
          <w:i/>
          <w:sz w:val="22"/>
        </w:rPr>
        <w:t xml:space="preserve"> </w:t>
      </w:r>
      <w:r w:rsidRPr="00A10B30">
        <w:rPr>
          <w:rFonts w:ascii="Arial" w:eastAsia="Arial" w:hAnsi="Arial" w:cs="Arial"/>
          <w:i/>
          <w:sz w:val="22"/>
        </w:rPr>
        <w:t>substituí-la para, a partir de fundamentos diversos, chegar-se a</w:t>
      </w:r>
      <w:r>
        <w:rPr>
          <w:rFonts w:ascii="Arial" w:eastAsia="Arial" w:hAnsi="Arial" w:cs="Arial"/>
          <w:i/>
          <w:sz w:val="22"/>
        </w:rPr>
        <w:t xml:space="preserve"> </w:t>
      </w:r>
      <w:r w:rsidRPr="00A10B30">
        <w:rPr>
          <w:rFonts w:ascii="Arial" w:eastAsia="Arial" w:hAnsi="Arial" w:cs="Arial"/>
          <w:i/>
          <w:sz w:val="22"/>
        </w:rPr>
        <w:t xml:space="preserve">conclusão sobre o desrespeito </w:t>
      </w:r>
      <w:proofErr w:type="gramStart"/>
      <w:r w:rsidRPr="00A10B30">
        <w:rPr>
          <w:rFonts w:ascii="Arial" w:eastAsia="Arial" w:hAnsi="Arial" w:cs="Arial"/>
          <w:i/>
          <w:sz w:val="22"/>
        </w:rPr>
        <w:t>a dispositivo</w:t>
      </w:r>
      <w:proofErr w:type="gramEnd"/>
      <w:r w:rsidRPr="00A10B30">
        <w:rPr>
          <w:rFonts w:ascii="Arial" w:eastAsia="Arial" w:hAnsi="Arial" w:cs="Arial"/>
          <w:i/>
          <w:sz w:val="22"/>
        </w:rPr>
        <w:t xml:space="preserve"> da Lei Básica</w:t>
      </w:r>
      <w:r>
        <w:rPr>
          <w:rFonts w:ascii="Arial" w:eastAsia="Arial" w:hAnsi="Arial" w:cs="Arial"/>
          <w:i/>
          <w:sz w:val="22"/>
        </w:rPr>
        <w:t xml:space="preserve"> </w:t>
      </w:r>
      <w:r w:rsidRPr="00A10B30">
        <w:rPr>
          <w:rFonts w:ascii="Arial" w:eastAsia="Arial" w:hAnsi="Arial" w:cs="Arial"/>
          <w:i/>
          <w:sz w:val="22"/>
        </w:rPr>
        <w:t>Federal. CONDENAÇÃO JUDICIAL - ACORDO - PARCELAMENTO.</w:t>
      </w:r>
    </w:p>
    <w:p w:rsidR="00A10B30" w:rsidRPr="00A10B30" w:rsidRDefault="00A10B30" w:rsidP="00A10B30">
      <w:pPr>
        <w:spacing w:line="360" w:lineRule="auto"/>
        <w:ind w:left="3402"/>
        <w:jc w:val="both"/>
        <w:rPr>
          <w:rFonts w:ascii="Arial" w:eastAsia="Arial" w:hAnsi="Arial" w:cs="Arial"/>
          <w:i/>
          <w:sz w:val="22"/>
        </w:rPr>
      </w:pPr>
      <w:r w:rsidRPr="00A10B30">
        <w:rPr>
          <w:rFonts w:ascii="Arial" w:eastAsia="Arial" w:hAnsi="Arial" w:cs="Arial"/>
          <w:i/>
          <w:sz w:val="22"/>
        </w:rPr>
        <w:t>Em se tratando de acordo relativo a parcelamento de débito</w:t>
      </w:r>
      <w:r>
        <w:rPr>
          <w:rFonts w:ascii="Arial" w:eastAsia="Arial" w:hAnsi="Arial" w:cs="Arial"/>
          <w:i/>
          <w:sz w:val="22"/>
        </w:rPr>
        <w:t xml:space="preserve"> </w:t>
      </w:r>
      <w:r w:rsidRPr="00A10B30">
        <w:rPr>
          <w:rFonts w:ascii="Arial" w:eastAsia="Arial" w:hAnsi="Arial" w:cs="Arial"/>
          <w:i/>
          <w:sz w:val="22"/>
        </w:rPr>
        <w:t>previsto em sentença judicial, possível é a dispensa do</w:t>
      </w:r>
      <w:r>
        <w:rPr>
          <w:rFonts w:ascii="Arial" w:eastAsia="Arial" w:hAnsi="Arial" w:cs="Arial"/>
          <w:i/>
          <w:sz w:val="22"/>
        </w:rPr>
        <w:t xml:space="preserve"> </w:t>
      </w:r>
      <w:r w:rsidRPr="00A10B30">
        <w:rPr>
          <w:rFonts w:ascii="Arial" w:eastAsia="Arial" w:hAnsi="Arial" w:cs="Arial"/>
          <w:i/>
          <w:sz w:val="22"/>
        </w:rPr>
        <w:t xml:space="preserve">precatório uma vez não ocorrida </w:t>
      </w:r>
      <w:proofErr w:type="gramStart"/>
      <w:r w:rsidRPr="00A10B30">
        <w:rPr>
          <w:rFonts w:ascii="Arial" w:eastAsia="Arial" w:hAnsi="Arial" w:cs="Arial"/>
          <w:i/>
          <w:sz w:val="22"/>
        </w:rPr>
        <w:t>a</w:t>
      </w:r>
      <w:proofErr w:type="gramEnd"/>
      <w:r w:rsidRPr="00A10B30">
        <w:rPr>
          <w:rFonts w:ascii="Arial" w:eastAsia="Arial" w:hAnsi="Arial" w:cs="Arial"/>
          <w:i/>
          <w:sz w:val="22"/>
        </w:rPr>
        <w:t xml:space="preserve"> preterição. ACORDO -</w:t>
      </w:r>
      <w:r>
        <w:rPr>
          <w:rFonts w:ascii="Arial" w:eastAsia="Arial" w:hAnsi="Arial" w:cs="Arial"/>
          <w:i/>
          <w:sz w:val="22"/>
        </w:rPr>
        <w:t xml:space="preserve"> </w:t>
      </w:r>
      <w:r w:rsidRPr="00A10B30">
        <w:rPr>
          <w:rFonts w:ascii="Arial" w:eastAsia="Arial" w:hAnsi="Arial" w:cs="Arial"/>
          <w:i/>
          <w:sz w:val="22"/>
        </w:rPr>
        <w:t xml:space="preserve">DÉBITO - ICMS - PARTICIPAÇÃO </w:t>
      </w:r>
      <w:r w:rsidRPr="00A10B30">
        <w:rPr>
          <w:rFonts w:ascii="Arial" w:eastAsia="Arial" w:hAnsi="Arial" w:cs="Arial"/>
          <w:i/>
          <w:sz w:val="22"/>
        </w:rPr>
        <w:lastRenderedPageBreak/>
        <w:t>DO MUNICÍPIO. Inexiste</w:t>
      </w:r>
      <w:r>
        <w:rPr>
          <w:rFonts w:ascii="Arial" w:eastAsia="Arial" w:hAnsi="Arial" w:cs="Arial"/>
          <w:i/>
          <w:sz w:val="22"/>
        </w:rPr>
        <w:t xml:space="preserve"> </w:t>
      </w:r>
      <w:r w:rsidRPr="00A10B30">
        <w:rPr>
          <w:rFonts w:ascii="Arial" w:eastAsia="Arial" w:hAnsi="Arial" w:cs="Arial"/>
          <w:i/>
          <w:sz w:val="22"/>
        </w:rPr>
        <w:t>ofensa ao inciso IV do artigo 167 da Constituição Federal, no</w:t>
      </w:r>
      <w:r>
        <w:rPr>
          <w:rFonts w:ascii="Arial" w:eastAsia="Arial" w:hAnsi="Arial" w:cs="Arial"/>
          <w:i/>
          <w:sz w:val="22"/>
        </w:rPr>
        <w:t xml:space="preserve"> </w:t>
      </w:r>
      <w:r w:rsidRPr="00A10B30">
        <w:rPr>
          <w:rFonts w:ascii="Arial" w:eastAsia="Arial" w:hAnsi="Arial" w:cs="Arial"/>
          <w:i/>
          <w:sz w:val="22"/>
        </w:rPr>
        <w:t>que utilizado o produto da participação do município no ICMS</w:t>
      </w:r>
      <w:r>
        <w:rPr>
          <w:rFonts w:ascii="Arial" w:eastAsia="Arial" w:hAnsi="Arial" w:cs="Arial"/>
          <w:i/>
          <w:sz w:val="22"/>
        </w:rPr>
        <w:t xml:space="preserve"> </w:t>
      </w:r>
      <w:r w:rsidRPr="00A10B30">
        <w:rPr>
          <w:rFonts w:ascii="Arial" w:eastAsia="Arial" w:hAnsi="Arial" w:cs="Arial"/>
          <w:i/>
          <w:sz w:val="22"/>
        </w:rPr>
        <w:t>para liquidação de débito. A vinculação vedada pelo Texto</w:t>
      </w:r>
      <w:r>
        <w:rPr>
          <w:rFonts w:ascii="Arial" w:eastAsia="Arial" w:hAnsi="Arial" w:cs="Arial"/>
          <w:i/>
          <w:sz w:val="22"/>
        </w:rPr>
        <w:t xml:space="preserve"> </w:t>
      </w:r>
      <w:r w:rsidRPr="00A10B30">
        <w:rPr>
          <w:rFonts w:ascii="Arial" w:eastAsia="Arial" w:hAnsi="Arial" w:cs="Arial"/>
          <w:i/>
          <w:sz w:val="22"/>
        </w:rPr>
        <w:t>Constitucional está ligada a tributos próprios. (RE 184116,</w:t>
      </w:r>
      <w:r>
        <w:rPr>
          <w:rFonts w:ascii="Arial" w:eastAsia="Arial" w:hAnsi="Arial" w:cs="Arial"/>
          <w:i/>
          <w:sz w:val="22"/>
        </w:rPr>
        <w:t xml:space="preserve"> </w:t>
      </w:r>
      <w:proofErr w:type="gramStart"/>
      <w:r w:rsidRPr="00A10B30">
        <w:rPr>
          <w:rFonts w:ascii="Arial" w:eastAsia="Arial" w:hAnsi="Arial" w:cs="Arial"/>
          <w:i/>
          <w:sz w:val="22"/>
        </w:rPr>
        <w:t>Relator(</w:t>
      </w:r>
      <w:proofErr w:type="gramEnd"/>
      <w:r w:rsidRPr="00A10B30">
        <w:rPr>
          <w:rFonts w:ascii="Arial" w:eastAsia="Arial" w:hAnsi="Arial" w:cs="Arial"/>
          <w:i/>
          <w:sz w:val="22"/>
        </w:rPr>
        <w:t>a): Min. MARCO AURÉLIO, Segunda Turma, julgado em</w:t>
      </w:r>
      <w:r>
        <w:rPr>
          <w:rFonts w:ascii="Arial" w:eastAsia="Arial" w:hAnsi="Arial" w:cs="Arial"/>
          <w:i/>
          <w:sz w:val="22"/>
        </w:rPr>
        <w:t xml:space="preserve"> </w:t>
      </w:r>
      <w:r w:rsidRPr="00A10B30">
        <w:rPr>
          <w:rFonts w:ascii="Arial" w:eastAsia="Arial" w:hAnsi="Arial" w:cs="Arial"/>
          <w:i/>
          <w:sz w:val="22"/>
        </w:rPr>
        <w:t>07/11/2000, DJ 16-022001 PP-00139 EMENT VOL-02019-02 PP-</w:t>
      </w:r>
      <w:r>
        <w:rPr>
          <w:rFonts w:ascii="Arial" w:eastAsia="Arial" w:hAnsi="Arial" w:cs="Arial"/>
          <w:i/>
          <w:sz w:val="22"/>
        </w:rPr>
        <w:t xml:space="preserve"> </w:t>
      </w:r>
      <w:r w:rsidRPr="00A10B30">
        <w:rPr>
          <w:rFonts w:ascii="Arial" w:eastAsia="Arial" w:hAnsi="Arial" w:cs="Arial"/>
          <w:i/>
          <w:sz w:val="22"/>
        </w:rPr>
        <w:t>00419)</w:t>
      </w:r>
      <w:r>
        <w:rPr>
          <w:rFonts w:ascii="Arial" w:eastAsia="Arial" w:hAnsi="Arial" w:cs="Arial"/>
          <w:i/>
          <w:sz w:val="22"/>
        </w:rPr>
        <w:t>.</w:t>
      </w:r>
    </w:p>
    <w:p w:rsidR="00A10B30" w:rsidRPr="00A10B30" w:rsidRDefault="00A10B30" w:rsidP="00A10B30">
      <w:pPr>
        <w:spacing w:line="360" w:lineRule="auto"/>
        <w:ind w:left="3402"/>
        <w:jc w:val="both"/>
        <w:rPr>
          <w:rFonts w:ascii="Arial" w:eastAsia="Arial" w:hAnsi="Arial" w:cs="Arial"/>
          <w:i/>
          <w:sz w:val="22"/>
        </w:rPr>
      </w:pPr>
    </w:p>
    <w:p w:rsidR="00A10B30" w:rsidRDefault="00A10B30" w:rsidP="00A10B30">
      <w:pPr>
        <w:spacing w:line="360" w:lineRule="auto"/>
        <w:ind w:firstLine="1134"/>
        <w:jc w:val="both"/>
        <w:rPr>
          <w:rFonts w:ascii="Arial" w:eastAsia="Arial" w:hAnsi="Arial" w:cs="Arial"/>
        </w:rPr>
      </w:pPr>
      <w:r w:rsidRPr="00A10B30">
        <w:rPr>
          <w:rFonts w:ascii="Arial" w:eastAsia="Arial" w:hAnsi="Arial" w:cs="Arial"/>
        </w:rPr>
        <w:t>Quanto à receita proveniente do Fundo de Participação dos Municípios, ressalta-se, não há proibição de sua vinculação por haver parecer vinculante exarado pela AGU nesse sentido</w:t>
      </w:r>
      <w:r w:rsidRPr="00A10B30">
        <w:rPr>
          <w:rStyle w:val="Refdenotaderodap"/>
          <w:rFonts w:ascii="Arial" w:eastAsia="Arial" w:hAnsi="Arial" w:cs="Arial"/>
        </w:rPr>
        <w:footnoteReference w:id="1"/>
      </w:r>
      <w:r w:rsidRPr="00A10B30">
        <w:rPr>
          <w:rFonts w:ascii="Arial" w:eastAsia="Arial" w:hAnsi="Arial" w:cs="Arial"/>
        </w:rPr>
        <w:t xml:space="preserve"> e, quanto às receitas decorrentes de transferências constitucionais (art. 158 da CF), há profunda divergência jurisprudencial, existindo, todavia, razoável interpretação pela viabilidade dessa vinculação.</w:t>
      </w:r>
    </w:p>
    <w:p w:rsidR="00393354" w:rsidRDefault="00393354" w:rsidP="00A10B30">
      <w:pPr>
        <w:spacing w:line="360" w:lineRule="auto"/>
        <w:ind w:firstLine="1134"/>
        <w:jc w:val="both"/>
        <w:rPr>
          <w:rFonts w:ascii="Arial" w:eastAsia="Arial" w:hAnsi="Arial" w:cs="Arial"/>
        </w:rPr>
      </w:pPr>
    </w:p>
    <w:p w:rsidR="00393354" w:rsidRDefault="00393354" w:rsidP="00A10B30">
      <w:pPr>
        <w:spacing w:line="360" w:lineRule="auto"/>
        <w:ind w:firstLine="1134"/>
        <w:jc w:val="both"/>
        <w:rPr>
          <w:rFonts w:ascii="Arial" w:eastAsia="Arial" w:hAnsi="Arial" w:cs="Arial"/>
        </w:rPr>
      </w:pPr>
      <w:r>
        <w:rPr>
          <w:rFonts w:ascii="Arial" w:eastAsia="Arial" w:hAnsi="Arial" w:cs="Arial"/>
        </w:rPr>
        <w:t>Inclusive, cito aqui ementa jurisprudencial que alberga a posição trazida pelo Poder Executivo através da presente emenda.</w:t>
      </w:r>
    </w:p>
    <w:p w:rsidR="00393354" w:rsidRDefault="00393354" w:rsidP="00A10B30">
      <w:pPr>
        <w:spacing w:line="360" w:lineRule="auto"/>
        <w:ind w:firstLine="1134"/>
        <w:jc w:val="both"/>
        <w:rPr>
          <w:rFonts w:ascii="Arial" w:eastAsia="Arial" w:hAnsi="Arial" w:cs="Arial"/>
        </w:rPr>
      </w:pPr>
    </w:p>
    <w:p w:rsidR="00393354" w:rsidRPr="00393354" w:rsidRDefault="00393354" w:rsidP="00393354">
      <w:pPr>
        <w:spacing w:line="360" w:lineRule="auto"/>
        <w:ind w:left="2835"/>
        <w:jc w:val="both"/>
        <w:rPr>
          <w:rFonts w:ascii="Arial" w:eastAsia="Arial" w:hAnsi="Arial" w:cs="Arial"/>
          <w:i/>
          <w:sz w:val="28"/>
        </w:rPr>
      </w:pPr>
      <w:r w:rsidRPr="00393354">
        <w:rPr>
          <w:rStyle w:val="Forte"/>
          <w:rFonts w:ascii="Arial" w:hAnsi="Arial" w:cs="Arial"/>
          <w:i/>
          <w:sz w:val="22"/>
          <w:szCs w:val="20"/>
          <w:shd w:val="clear" w:color="auto" w:fill="FFFFFF"/>
        </w:rPr>
        <w:t>Ementa: </w:t>
      </w:r>
      <w:r w:rsidRPr="00393354">
        <w:rPr>
          <w:rStyle w:val="firstementa"/>
          <w:rFonts w:ascii="Arial" w:hAnsi="Arial" w:cs="Arial"/>
          <w:i/>
          <w:sz w:val="22"/>
          <w:szCs w:val="20"/>
          <w:shd w:val="clear" w:color="auto" w:fill="FFFFFF"/>
        </w:rPr>
        <w:t>AÇÃO DIRETA DE INCONSTITUCIONALIDADE. LEI Nº 3.951/2019, DO MUNICÍPIO DE SAPUCAIA DO SUL. PRELIMINAR DE ILEGITIMIDADE ATIVA. SUPERADA. ARGUIÇÃO DE IMPOSSIBILIDADE JURÍDICA DO PEDIDO. REJEITADA. MÉRITO. INCONSTITUCIONALIDADE MATERIAL NÃO VERIFICADA. VIOLAÇÃO DO PRINCÍPIO DA NÃO VINCULAÇÃO DE RECEITAS</w:t>
      </w:r>
      <w:r w:rsidRPr="00393354">
        <w:rPr>
          <w:rStyle w:val="hidden-text"/>
          <w:rFonts w:ascii="Arial" w:hAnsi="Arial" w:cs="Arial"/>
          <w:i/>
          <w:sz w:val="22"/>
          <w:szCs w:val="20"/>
          <w:shd w:val="clear" w:color="auto" w:fill="FFFFFF"/>
        </w:rPr>
        <w:t xml:space="preserve"> DE IMPOSTOS. LEI MERAMENTE AUTORIZATIVA. ART. 167, IV E §4º, DA CF/88. ART. 154, IV E §5º, DA CE/89. I - Lei Municipal nº 3.951/2019, do Município de Sapucaia do Sul, que autoriza o Poder Executivo a contratar operação de crédito com a Caixa Econômica Federal. Autoriza, como forma de pagamento da operação de crédito, a utilização de receita tributária municipal, inclusive, quota-parte de repasse de ICMS e do Fundo de Participação dos Municípios. II - Apresentada preliminar de </w:t>
      </w:r>
      <w:r w:rsidRPr="00393354">
        <w:rPr>
          <w:rStyle w:val="hidden-text"/>
          <w:rFonts w:ascii="Arial" w:hAnsi="Arial" w:cs="Arial"/>
          <w:i/>
          <w:sz w:val="22"/>
          <w:szCs w:val="20"/>
          <w:shd w:val="clear" w:color="auto" w:fill="FFFFFF"/>
        </w:rPr>
        <w:lastRenderedPageBreak/>
        <w:t xml:space="preserve">ilegitimidade ativa. Superada. Questão já enfrentada nos autos dos Embargos de Declaração nº 70081993446. III – Arguição de impossibilidade jurídica do pedido. Rejeitada. A lei </w:t>
      </w:r>
      <w:proofErr w:type="spellStart"/>
      <w:r w:rsidRPr="00393354">
        <w:rPr>
          <w:rStyle w:val="hidden-text"/>
          <w:rFonts w:ascii="Arial" w:hAnsi="Arial" w:cs="Arial"/>
          <w:i/>
          <w:sz w:val="22"/>
          <w:szCs w:val="20"/>
          <w:shd w:val="clear" w:color="auto" w:fill="FFFFFF"/>
        </w:rPr>
        <w:t>autorizativa</w:t>
      </w:r>
      <w:proofErr w:type="spellEnd"/>
      <w:r w:rsidRPr="00393354">
        <w:rPr>
          <w:rStyle w:val="hidden-text"/>
          <w:rFonts w:ascii="Arial" w:hAnsi="Arial" w:cs="Arial"/>
          <w:i/>
          <w:sz w:val="22"/>
          <w:szCs w:val="20"/>
          <w:shd w:val="clear" w:color="auto" w:fill="FFFFFF"/>
        </w:rPr>
        <w:t xml:space="preserve"> não é completamente despida de conteúdo normativo, especialmente quando dirige autorização para a Administração Pública, uma vez que, com sustentáculo no princípio legalidade, o gestor público só pode atuar conforme a lei impõe ou autoriza. Se a lei meramente </w:t>
      </w:r>
      <w:proofErr w:type="spellStart"/>
      <w:r w:rsidRPr="00393354">
        <w:rPr>
          <w:rStyle w:val="hidden-text"/>
          <w:rFonts w:ascii="Arial" w:hAnsi="Arial" w:cs="Arial"/>
          <w:i/>
          <w:sz w:val="22"/>
          <w:szCs w:val="20"/>
          <w:shd w:val="clear" w:color="auto" w:fill="FFFFFF"/>
        </w:rPr>
        <w:t>autorizativa</w:t>
      </w:r>
      <w:proofErr w:type="spellEnd"/>
      <w:r w:rsidRPr="00393354">
        <w:rPr>
          <w:rStyle w:val="hidden-text"/>
          <w:rFonts w:ascii="Arial" w:hAnsi="Arial" w:cs="Arial"/>
          <w:i/>
          <w:sz w:val="22"/>
          <w:szCs w:val="20"/>
          <w:shd w:val="clear" w:color="auto" w:fill="FFFFFF"/>
        </w:rPr>
        <w:t xml:space="preserve"> contém permissão de conduta que vai de encontro ao texto constitucional, essa poderá ser objeto de controle de constitucionalidade. IV - A Lei Municipal nº 3.951/2019 não oferece as receitas dos repasses como garantia vinculada ao contrato de crédito, mas, sim autoriza a Municipalidade a utilizar esses valores para amortizar a dívida. O que a CF/88 e a CE/89 vedam é a vinculação, ou seja, a imposição de destinação específica, obrigatória e pré-ordenada para a receita futura. A Lei em comento apenas autoriza o Executivo Municipal a utilizar a receita. Não </w:t>
      </w:r>
      <w:proofErr w:type="gramStart"/>
      <w:r w:rsidRPr="00393354">
        <w:rPr>
          <w:rStyle w:val="hidden-text"/>
          <w:rFonts w:ascii="Arial" w:hAnsi="Arial" w:cs="Arial"/>
          <w:i/>
          <w:sz w:val="22"/>
          <w:szCs w:val="20"/>
          <w:shd w:val="clear" w:color="auto" w:fill="FFFFFF"/>
        </w:rPr>
        <w:t>vincula,</w:t>
      </w:r>
      <w:proofErr w:type="gramEnd"/>
      <w:r w:rsidRPr="00393354">
        <w:rPr>
          <w:rStyle w:val="hidden-text"/>
          <w:rFonts w:ascii="Arial" w:hAnsi="Arial" w:cs="Arial"/>
          <w:i/>
          <w:sz w:val="22"/>
          <w:szCs w:val="20"/>
          <w:shd w:val="clear" w:color="auto" w:fill="FFFFFF"/>
        </w:rPr>
        <w:t xml:space="preserve"> não afeta, não obriga, não impõe. Ausente inconstitucionalidade material. AÇÃO DIRETA DE INCONSTITUCIONALIDADE JULGADA IMPROCEDENTE. </w:t>
      </w:r>
      <w:proofErr w:type="gramStart"/>
      <w:r w:rsidRPr="00393354">
        <w:rPr>
          <w:rStyle w:val="hidden-text"/>
          <w:rFonts w:ascii="Arial" w:hAnsi="Arial" w:cs="Arial"/>
          <w:i/>
          <w:sz w:val="22"/>
          <w:szCs w:val="20"/>
          <w:shd w:val="clear" w:color="auto" w:fill="FFFFFF"/>
        </w:rPr>
        <w:t>UNÂNIME.</w:t>
      </w:r>
      <w:proofErr w:type="gramEnd"/>
      <w:r w:rsidRPr="00393354">
        <w:rPr>
          <w:rStyle w:val="hidden-text"/>
          <w:rFonts w:ascii="Arial" w:hAnsi="Arial" w:cs="Arial"/>
          <w:i/>
          <w:sz w:val="22"/>
          <w:szCs w:val="20"/>
          <w:shd w:val="clear" w:color="auto" w:fill="FFFFFF"/>
        </w:rPr>
        <w:t xml:space="preserve">(Direta de Inconstitucionalidade, Nº 70081855421, Tribunal Pleno, Tribunal de Justiça do RS, Relator: Francisco José </w:t>
      </w:r>
      <w:proofErr w:type="spellStart"/>
      <w:r w:rsidRPr="00393354">
        <w:rPr>
          <w:rStyle w:val="hidden-text"/>
          <w:rFonts w:ascii="Arial" w:hAnsi="Arial" w:cs="Arial"/>
          <w:i/>
          <w:sz w:val="22"/>
          <w:szCs w:val="20"/>
          <w:shd w:val="clear" w:color="auto" w:fill="FFFFFF"/>
        </w:rPr>
        <w:t>Moesch</w:t>
      </w:r>
      <w:proofErr w:type="spellEnd"/>
      <w:r w:rsidRPr="00393354">
        <w:rPr>
          <w:rStyle w:val="hidden-text"/>
          <w:rFonts w:ascii="Arial" w:hAnsi="Arial" w:cs="Arial"/>
          <w:i/>
          <w:sz w:val="22"/>
          <w:szCs w:val="20"/>
          <w:shd w:val="clear" w:color="auto" w:fill="FFFFFF"/>
        </w:rPr>
        <w:t>, Julgado em: 09-12-2019).</w:t>
      </w:r>
      <w:r w:rsidRPr="00393354">
        <w:rPr>
          <w:rFonts w:ascii="Arial" w:eastAsia="Arial" w:hAnsi="Arial" w:cs="Arial"/>
          <w:i/>
          <w:sz w:val="28"/>
        </w:rPr>
        <w:t xml:space="preserve"> </w:t>
      </w:r>
    </w:p>
    <w:p w:rsidR="00A10B30" w:rsidRPr="002201AC" w:rsidRDefault="00A10B30" w:rsidP="00A10B30">
      <w:pPr>
        <w:spacing w:line="360" w:lineRule="auto"/>
        <w:ind w:left="3402"/>
        <w:jc w:val="both"/>
        <w:rPr>
          <w:rFonts w:ascii="Arial" w:eastAsia="Arial" w:hAnsi="Arial" w:cs="Arial"/>
        </w:rPr>
      </w:pPr>
    </w:p>
    <w:p w:rsidR="002D01FE" w:rsidRPr="002201AC" w:rsidRDefault="00E95FF1" w:rsidP="002201AC">
      <w:pPr>
        <w:spacing w:line="360" w:lineRule="auto"/>
        <w:ind w:firstLine="360"/>
        <w:jc w:val="both"/>
        <w:rPr>
          <w:rFonts w:ascii="Arial" w:eastAsia="Arial" w:hAnsi="Arial" w:cs="Arial"/>
        </w:rPr>
      </w:pPr>
      <w:r w:rsidRPr="002201AC">
        <w:rPr>
          <w:rFonts w:ascii="Arial" w:eastAsia="Arial" w:hAnsi="Arial" w:cs="Arial"/>
        </w:rPr>
        <w:t>Por derradeiro anotamos que, anteriormente à deliberação pelo plenário da nobre Casa Legislativa, deve haver manifestação das seguintes comissões permanentes:</w:t>
      </w:r>
    </w:p>
    <w:p w:rsidR="002D01FE" w:rsidRPr="002201AC" w:rsidRDefault="002D01FE" w:rsidP="002201AC">
      <w:pPr>
        <w:spacing w:line="360" w:lineRule="auto"/>
        <w:jc w:val="both"/>
        <w:rPr>
          <w:rFonts w:ascii="Arial" w:eastAsia="Arial" w:hAnsi="Arial" w:cs="Arial"/>
        </w:rPr>
      </w:pPr>
    </w:p>
    <w:p w:rsidR="002D01FE" w:rsidRPr="002201AC" w:rsidRDefault="00E95FF1" w:rsidP="002201AC">
      <w:pPr>
        <w:spacing w:before="240" w:line="276" w:lineRule="auto"/>
        <w:jc w:val="both"/>
        <w:rPr>
          <w:rFonts w:ascii="Arial" w:eastAsia="Arial" w:hAnsi="Arial" w:cs="Arial"/>
        </w:rPr>
      </w:pPr>
      <w:r w:rsidRPr="002201AC">
        <w:rPr>
          <w:rFonts w:ascii="Arial" w:eastAsia="Arial" w:hAnsi="Arial" w:cs="Arial"/>
        </w:rPr>
        <w:t xml:space="preserve"> a) </w:t>
      </w:r>
      <w:r w:rsidR="002201AC" w:rsidRPr="002201AC">
        <w:rPr>
          <w:rFonts w:ascii="Arial" w:eastAsia="Arial" w:hAnsi="Arial" w:cs="Arial"/>
          <w:b/>
        </w:rPr>
        <w:t>L</w:t>
      </w:r>
      <w:r w:rsidRPr="002201AC">
        <w:rPr>
          <w:rFonts w:ascii="Arial" w:eastAsia="Arial" w:hAnsi="Arial" w:cs="Arial"/>
          <w:b/>
        </w:rPr>
        <w:t>EGISLAÇÃO E JUSTIÇA</w:t>
      </w:r>
      <w:r w:rsidRPr="002201AC">
        <w:rPr>
          <w:rFonts w:ascii="Arial" w:eastAsia="Arial" w:hAnsi="Arial" w:cs="Arial"/>
        </w:rPr>
        <w:t>, por ser condição de tramitação do processo legislativo para todas as proposições em geral:</w:t>
      </w:r>
    </w:p>
    <w:p w:rsidR="002D01FE" w:rsidRPr="002201AC" w:rsidRDefault="00E95FF1" w:rsidP="002201AC">
      <w:pPr>
        <w:spacing w:before="240" w:line="276" w:lineRule="auto"/>
        <w:jc w:val="both"/>
        <w:rPr>
          <w:rFonts w:ascii="Arial" w:eastAsia="Arial" w:hAnsi="Arial" w:cs="Arial"/>
        </w:rPr>
      </w:pPr>
      <w:r w:rsidRPr="002201AC">
        <w:rPr>
          <w:rFonts w:ascii="Arial" w:eastAsia="Arial" w:hAnsi="Arial" w:cs="Arial"/>
        </w:rPr>
        <w:t xml:space="preserve"> </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lastRenderedPageBreak/>
        <w:t>§ 1º- Salvo expressa disposição em contrário deste Regimento, é obrigatória a audiência da Comissão de Legislação e Justiça em todos os projetos de lei e determinadas matérias que tramitarem pela Câmara.</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 3º- A Comissão de Legislação e Justiça manifestar-se-á sobre o mérito da proposição, assim atendida a colocação do assunto sob o prisma de sua conveniência, utilidade e oportunidade, principalmente nos seguintes casos:</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I - organização administrativa da Prefeitura e Câmara;</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II - criação de entidade de Administração indireta ou de fundação;</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III - aquisição de alienação de bens imóveis;</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IV - participação em consórcios;</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V - concessão de licença ao Prefeito;</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VI - alteração de denominação de próprios, vias e logradouros públicos;</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VII – criação, incorporação, fusão e desmembramento de distritos administrativos;</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VIII – instituição ou alteração de códigos;</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IX – matérias pertinentes à Defesa do Consumidor;</w:t>
      </w:r>
    </w:p>
    <w:p w:rsidR="002D01FE" w:rsidRPr="00A10B30" w:rsidRDefault="002201AC" w:rsidP="002201AC">
      <w:pPr>
        <w:spacing w:line="276" w:lineRule="auto"/>
        <w:ind w:left="3540"/>
        <w:jc w:val="both"/>
        <w:rPr>
          <w:rFonts w:ascii="Arial" w:eastAsia="Arial" w:hAnsi="Arial" w:cs="Arial"/>
          <w:i/>
        </w:rPr>
      </w:pPr>
      <w:r w:rsidRPr="00A10B30">
        <w:rPr>
          <w:rFonts w:ascii="Arial" w:eastAsia="Arial" w:hAnsi="Arial" w:cs="Arial"/>
          <w:i/>
        </w:rPr>
        <w:t xml:space="preserve">X – </w:t>
      </w:r>
      <w:proofErr w:type="gramStart"/>
      <w:r w:rsidRPr="00A10B30">
        <w:rPr>
          <w:rFonts w:ascii="Arial" w:eastAsia="Arial" w:hAnsi="Arial" w:cs="Arial"/>
          <w:i/>
        </w:rPr>
        <w:t>outros assuntos pertinente</w:t>
      </w:r>
      <w:proofErr w:type="gramEnd"/>
      <w:r w:rsidRPr="00A10B30">
        <w:rPr>
          <w:rFonts w:ascii="Arial" w:eastAsia="Arial" w:hAnsi="Arial" w:cs="Arial"/>
          <w:i/>
        </w:rPr>
        <w:t>.</w:t>
      </w:r>
      <w:r w:rsidR="00E95FF1" w:rsidRPr="00A10B30">
        <w:rPr>
          <w:rFonts w:ascii="Arial" w:eastAsia="Arial" w:hAnsi="Arial" w:cs="Arial"/>
          <w:i/>
        </w:rPr>
        <w:t xml:space="preserve"> </w:t>
      </w:r>
    </w:p>
    <w:p w:rsidR="002D01FE" w:rsidRPr="002201AC" w:rsidRDefault="002201AC" w:rsidP="002201AC">
      <w:pPr>
        <w:spacing w:before="240" w:line="276" w:lineRule="auto"/>
        <w:jc w:val="both"/>
        <w:rPr>
          <w:rFonts w:ascii="Arial" w:eastAsia="Arial" w:hAnsi="Arial" w:cs="Arial"/>
        </w:rPr>
      </w:pPr>
      <w:r>
        <w:rPr>
          <w:rFonts w:ascii="Arial" w:eastAsia="Arial" w:hAnsi="Arial" w:cs="Arial"/>
        </w:rPr>
        <w:t>b</w:t>
      </w:r>
      <w:r w:rsidR="00E95FF1" w:rsidRPr="002201AC">
        <w:rPr>
          <w:rFonts w:ascii="Arial" w:eastAsia="Arial" w:hAnsi="Arial" w:cs="Arial"/>
        </w:rPr>
        <w:t xml:space="preserve">) </w:t>
      </w:r>
      <w:r w:rsidR="00E95FF1" w:rsidRPr="002201AC">
        <w:rPr>
          <w:rFonts w:ascii="Arial" w:eastAsia="Arial" w:hAnsi="Arial" w:cs="Arial"/>
          <w:b/>
        </w:rPr>
        <w:t>COMISSÂO</w:t>
      </w:r>
      <w:r w:rsidRPr="002201AC">
        <w:rPr>
          <w:rFonts w:ascii="Arial" w:eastAsia="Arial" w:hAnsi="Arial" w:cs="Arial"/>
          <w:b/>
        </w:rPr>
        <w:t xml:space="preserve"> FINANÇAS E ORÇAMENTO</w:t>
      </w:r>
      <w:r w:rsidR="00E95FF1" w:rsidRPr="002201AC">
        <w:rPr>
          <w:rFonts w:ascii="Arial" w:eastAsia="Arial" w:hAnsi="Arial" w:cs="Arial"/>
        </w:rPr>
        <w:t>, por competência específica, eis que a proposição envolve matéria.</w:t>
      </w:r>
    </w:p>
    <w:p w:rsidR="002D01FE" w:rsidRPr="002201AC" w:rsidRDefault="00E95FF1" w:rsidP="002201AC">
      <w:pPr>
        <w:spacing w:before="240" w:line="276" w:lineRule="auto"/>
        <w:jc w:val="both"/>
        <w:rPr>
          <w:rFonts w:ascii="Arial" w:eastAsia="Arial" w:hAnsi="Arial" w:cs="Arial"/>
        </w:rPr>
      </w:pPr>
      <w:r w:rsidRPr="002201AC">
        <w:rPr>
          <w:rFonts w:ascii="Arial" w:eastAsia="Arial" w:hAnsi="Arial" w:cs="Arial"/>
        </w:rPr>
        <w:t xml:space="preserve"> </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Art. 77- Compete à Comissão de Finanças e Orçamento opinar obrigatoriamente sobre todas as matérias de caráter financeiro, e especialmente quando for o caso de:</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I - plano plurianual;</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II - diretrizes orçamentárias;</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III - proposta orçamentária;</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 xml:space="preserve">IV - proposições referentes a matérias tributárias; abertura de créditos; empréstimos públicos e as que, direta ou indiretamente, alterem a despesa ou a receita do Município, acarretem responsabilidades ao Erário Municipal ou </w:t>
      </w:r>
      <w:r w:rsidRPr="00A10B30">
        <w:rPr>
          <w:rFonts w:ascii="Arial" w:eastAsia="Arial" w:hAnsi="Arial" w:cs="Arial"/>
          <w:i/>
        </w:rPr>
        <w:lastRenderedPageBreak/>
        <w:t>interessem ao crédito e ao Patrimônio Público Municipal;</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V – matérias pertinentes ao setor agrícola, industrial e de relações do comércio;</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VI – organizar a Audiência pública para cumprimento das Metas Físicas e Financeiras de que trata o § 4º do artigo 9º da Lei de Responsabilidade Fiscal.</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w:t>
      </w:r>
    </w:p>
    <w:p w:rsidR="002D01FE" w:rsidRPr="00A10B30" w:rsidRDefault="00E95FF1" w:rsidP="002201AC">
      <w:pPr>
        <w:spacing w:line="276" w:lineRule="auto"/>
        <w:ind w:left="3540"/>
        <w:jc w:val="both"/>
        <w:rPr>
          <w:rFonts w:ascii="Arial" w:eastAsia="Arial" w:hAnsi="Arial" w:cs="Arial"/>
          <w:i/>
        </w:rPr>
      </w:pPr>
      <w:r w:rsidRPr="00A10B30">
        <w:rPr>
          <w:rFonts w:ascii="Arial" w:eastAsia="Arial" w:hAnsi="Arial" w:cs="Arial"/>
          <w:i/>
        </w:rPr>
        <w:t xml:space="preserve"> </w:t>
      </w:r>
    </w:p>
    <w:p w:rsidR="002D01FE" w:rsidRPr="00A10B30" w:rsidRDefault="002D01FE" w:rsidP="002201AC">
      <w:pPr>
        <w:spacing w:line="360" w:lineRule="auto"/>
        <w:jc w:val="both"/>
        <w:rPr>
          <w:rFonts w:ascii="Arial" w:eastAsia="Arial" w:hAnsi="Arial" w:cs="Arial"/>
          <w:i/>
        </w:rPr>
      </w:pPr>
    </w:p>
    <w:p w:rsidR="002D01FE" w:rsidRPr="002201AC" w:rsidRDefault="00E95FF1" w:rsidP="002201AC">
      <w:pPr>
        <w:spacing w:line="360" w:lineRule="auto"/>
        <w:jc w:val="center"/>
        <w:rPr>
          <w:rFonts w:ascii="Arial" w:eastAsia="Arial" w:hAnsi="Arial" w:cs="Arial"/>
          <w:b/>
          <w:sz w:val="28"/>
        </w:rPr>
      </w:pPr>
      <w:r w:rsidRPr="002201AC">
        <w:rPr>
          <w:rFonts w:ascii="Arial" w:eastAsia="Arial" w:hAnsi="Arial" w:cs="Arial"/>
          <w:b/>
          <w:sz w:val="28"/>
        </w:rPr>
        <w:t>CONSIDERAÇÕES FINAIS</w:t>
      </w:r>
    </w:p>
    <w:p w:rsidR="002D01FE" w:rsidRPr="002201AC" w:rsidRDefault="002D01FE" w:rsidP="002201AC">
      <w:pPr>
        <w:jc w:val="both"/>
        <w:rPr>
          <w:rFonts w:ascii="Arial" w:eastAsia="Arial" w:hAnsi="Arial" w:cs="Arial"/>
        </w:rPr>
      </w:pPr>
    </w:p>
    <w:p w:rsidR="002201AC" w:rsidRDefault="00E95FF1" w:rsidP="002201AC">
      <w:pPr>
        <w:spacing w:line="360" w:lineRule="auto"/>
        <w:ind w:firstLine="720"/>
        <w:jc w:val="both"/>
        <w:rPr>
          <w:rFonts w:ascii="Arial" w:eastAsia="Arial" w:hAnsi="Arial" w:cs="Arial"/>
        </w:rPr>
      </w:pPr>
      <w:r w:rsidRPr="002201AC">
        <w:rPr>
          <w:rFonts w:ascii="Arial" w:eastAsia="Arial" w:hAnsi="Arial" w:cs="Arial"/>
        </w:rPr>
        <w:t xml:space="preserve">Em conformidade com os fundamentos normativos apresentados acima, encaminhamos o expediente ao prosseguimento opinando pela </w:t>
      </w:r>
      <w:r w:rsidRPr="002201AC">
        <w:rPr>
          <w:rFonts w:ascii="Arial" w:eastAsia="Arial" w:hAnsi="Arial" w:cs="Arial"/>
          <w:b/>
          <w:u w:val="single"/>
        </w:rPr>
        <w:t>viabilidade da tramitação</w:t>
      </w:r>
      <w:r w:rsidRPr="002201AC">
        <w:rPr>
          <w:rFonts w:ascii="Arial" w:eastAsia="Arial" w:hAnsi="Arial" w:cs="Arial"/>
        </w:rPr>
        <w:t xml:space="preserve">. </w:t>
      </w:r>
    </w:p>
    <w:p w:rsidR="00A10B30" w:rsidRDefault="00A10B30" w:rsidP="002201AC">
      <w:pPr>
        <w:spacing w:line="360" w:lineRule="auto"/>
        <w:ind w:firstLine="720"/>
        <w:jc w:val="both"/>
        <w:rPr>
          <w:rFonts w:ascii="Arial" w:eastAsia="Arial" w:hAnsi="Arial" w:cs="Arial"/>
        </w:rPr>
      </w:pPr>
    </w:p>
    <w:p w:rsidR="002D01FE" w:rsidRPr="002201AC" w:rsidRDefault="00E95FF1" w:rsidP="002201AC">
      <w:pPr>
        <w:spacing w:line="360" w:lineRule="auto"/>
        <w:ind w:firstLine="720"/>
        <w:jc w:val="both"/>
        <w:rPr>
          <w:rFonts w:ascii="Arial" w:eastAsia="Arial" w:hAnsi="Arial" w:cs="Arial"/>
        </w:rPr>
      </w:pPr>
      <w:r w:rsidRPr="002201AC">
        <w:rPr>
          <w:rFonts w:ascii="Arial" w:eastAsia="Arial" w:hAnsi="Arial" w:cs="Arial"/>
        </w:rPr>
        <w:t xml:space="preserve">Destacamos, </w:t>
      </w:r>
      <w:proofErr w:type="gramStart"/>
      <w:r w:rsidRPr="002201AC">
        <w:rPr>
          <w:rFonts w:ascii="Arial" w:eastAsia="Arial" w:hAnsi="Arial" w:cs="Arial"/>
        </w:rPr>
        <w:t>outrossim</w:t>
      </w:r>
      <w:proofErr w:type="gramEnd"/>
      <w:r w:rsidRPr="002201AC">
        <w:rPr>
          <w:rFonts w:ascii="Arial" w:eastAsia="Arial" w:hAnsi="Arial" w:cs="Arial"/>
        </w:rPr>
        <w:t>, que o presente parecer tem natureza opinativa e não vincula a decisão das comissões. À conclusão superior, e com aprovação, encaminhem-se os autos à DIRETORIA LEGISLATIVA para as devidas diligências.</w:t>
      </w:r>
    </w:p>
    <w:p w:rsidR="002D01FE" w:rsidRPr="002201AC" w:rsidRDefault="002D01FE" w:rsidP="002201AC">
      <w:pPr>
        <w:spacing w:line="360" w:lineRule="auto"/>
        <w:ind w:firstLine="720"/>
        <w:jc w:val="both"/>
        <w:rPr>
          <w:rFonts w:ascii="Arial" w:eastAsia="Arial" w:hAnsi="Arial" w:cs="Arial"/>
        </w:rPr>
      </w:pPr>
    </w:p>
    <w:p w:rsidR="002D01FE" w:rsidRDefault="00E95FF1" w:rsidP="002201AC">
      <w:pPr>
        <w:spacing w:line="360" w:lineRule="auto"/>
        <w:jc w:val="center"/>
        <w:rPr>
          <w:rFonts w:ascii="Arial" w:eastAsia="Arial" w:hAnsi="Arial" w:cs="Arial"/>
        </w:rPr>
      </w:pPr>
      <w:r w:rsidRPr="002201AC">
        <w:rPr>
          <w:rFonts w:ascii="Arial" w:eastAsia="Arial" w:hAnsi="Arial" w:cs="Arial"/>
        </w:rPr>
        <w:t>P</w:t>
      </w:r>
      <w:r w:rsidR="002201AC">
        <w:rPr>
          <w:rFonts w:ascii="Arial" w:eastAsia="Arial" w:hAnsi="Arial" w:cs="Arial"/>
        </w:rPr>
        <w:t>arecer exarado em 23 de Março de 2023.</w:t>
      </w:r>
    </w:p>
    <w:p w:rsidR="002201AC" w:rsidRDefault="002201AC" w:rsidP="002201AC">
      <w:pPr>
        <w:spacing w:line="360" w:lineRule="auto"/>
        <w:jc w:val="center"/>
        <w:rPr>
          <w:rFonts w:ascii="Arial" w:eastAsia="Arial" w:hAnsi="Arial" w:cs="Arial"/>
        </w:rPr>
      </w:pPr>
    </w:p>
    <w:p w:rsidR="002201AC" w:rsidRPr="002201AC" w:rsidRDefault="002201AC" w:rsidP="002201AC">
      <w:pPr>
        <w:jc w:val="center"/>
        <w:rPr>
          <w:rFonts w:ascii="Arial" w:eastAsia="Arial" w:hAnsi="Arial" w:cs="Arial"/>
          <w:b/>
        </w:rPr>
      </w:pPr>
      <w:r w:rsidRPr="002201AC">
        <w:rPr>
          <w:rFonts w:ascii="Arial" w:eastAsia="Arial" w:hAnsi="Arial" w:cs="Arial"/>
          <w:b/>
        </w:rPr>
        <w:t>João Roberto da Fonseca Junior</w:t>
      </w:r>
    </w:p>
    <w:p w:rsidR="002201AC" w:rsidRPr="002201AC" w:rsidRDefault="002201AC" w:rsidP="002201AC">
      <w:pPr>
        <w:jc w:val="center"/>
        <w:rPr>
          <w:rFonts w:ascii="Arial" w:eastAsia="Arial" w:hAnsi="Arial" w:cs="Arial"/>
          <w:b/>
        </w:rPr>
      </w:pPr>
      <w:r w:rsidRPr="002201AC">
        <w:rPr>
          <w:rFonts w:ascii="Arial" w:eastAsia="Arial" w:hAnsi="Arial" w:cs="Arial"/>
          <w:b/>
        </w:rPr>
        <w:t>Procurador Chefe</w:t>
      </w:r>
    </w:p>
    <w:p w:rsidR="002201AC" w:rsidRPr="002201AC" w:rsidRDefault="002201AC" w:rsidP="002201AC">
      <w:pPr>
        <w:jc w:val="center"/>
        <w:rPr>
          <w:rFonts w:ascii="Arial" w:eastAsia="Arial" w:hAnsi="Arial" w:cs="Arial"/>
          <w:b/>
        </w:rPr>
      </w:pPr>
      <w:r w:rsidRPr="002201AC">
        <w:rPr>
          <w:rFonts w:ascii="Arial" w:eastAsia="Arial" w:hAnsi="Arial" w:cs="Arial"/>
          <w:b/>
        </w:rPr>
        <w:t>OAB/RS 69.257</w:t>
      </w:r>
    </w:p>
    <w:p w:rsidR="002D01FE" w:rsidRDefault="002D01FE">
      <w:pPr>
        <w:jc w:val="right"/>
        <w:rPr>
          <w:rFonts w:ascii="Arial" w:eastAsia="Arial" w:hAnsi="Arial" w:cs="Arial"/>
          <w:b/>
          <w:sz w:val="28"/>
          <w:szCs w:val="28"/>
        </w:rPr>
      </w:pPr>
    </w:p>
    <w:sectPr w:rsidR="002D01FE" w:rsidSect="00AB065B">
      <w:headerReference w:type="default" r:id="rId8"/>
      <w:pgSz w:w="11906" w:h="16838"/>
      <w:pgMar w:top="1985" w:right="1133" w:bottom="1135" w:left="1701"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6F09" w:rsidRDefault="00B56F09">
      <w:r>
        <w:separator/>
      </w:r>
    </w:p>
  </w:endnote>
  <w:endnote w:type="continuationSeparator" w:id="0">
    <w:p w:rsidR="00B56F09" w:rsidRDefault="00B56F0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6F09" w:rsidRDefault="00B56F09">
      <w:r>
        <w:separator/>
      </w:r>
    </w:p>
  </w:footnote>
  <w:footnote w:type="continuationSeparator" w:id="0">
    <w:p w:rsidR="00B56F09" w:rsidRDefault="00B56F09">
      <w:r>
        <w:continuationSeparator/>
      </w:r>
    </w:p>
  </w:footnote>
  <w:footnote w:id="1">
    <w:p w:rsidR="00A10B30" w:rsidRPr="00A10B30" w:rsidRDefault="00A10B30">
      <w:pPr>
        <w:pStyle w:val="Textodenotaderodap"/>
        <w:rPr>
          <w:rFonts w:ascii="Arial" w:hAnsi="Arial" w:cs="Arial"/>
          <w:i/>
        </w:rPr>
      </w:pPr>
      <w:r w:rsidRPr="00A10B30">
        <w:rPr>
          <w:rStyle w:val="Refdenotaderodap"/>
          <w:rFonts w:ascii="Arial" w:hAnsi="Arial" w:cs="Arial"/>
          <w:i/>
        </w:rPr>
        <w:footnoteRef/>
      </w:r>
      <w:r w:rsidRPr="00A10B30">
        <w:rPr>
          <w:rFonts w:ascii="Arial" w:hAnsi="Arial" w:cs="Arial"/>
          <w:i/>
        </w:rPr>
        <w:t xml:space="preserve"> </w:t>
      </w:r>
      <w:proofErr w:type="gramStart"/>
      <w:r w:rsidRPr="00A10B30">
        <w:rPr>
          <w:rFonts w:ascii="Arial" w:hAnsi="Arial" w:cs="Arial"/>
          <w:i/>
        </w:rPr>
        <w:t>1</w:t>
      </w:r>
      <w:proofErr w:type="gramEnd"/>
      <w:r w:rsidRPr="00A10B30">
        <w:rPr>
          <w:rFonts w:ascii="Arial" w:hAnsi="Arial" w:cs="Arial"/>
          <w:i/>
        </w:rPr>
        <w:t xml:space="preserve"> Advocacia-Geral da União. Parecer nº 2/2018/GAB/CGU/AGU.</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1FE" w:rsidRDefault="00E95FF1">
    <w:pPr>
      <w:pStyle w:val="Ttulo1"/>
      <w:ind w:left="708"/>
      <w:jc w:val="center"/>
    </w:pPr>
    <w:r>
      <w:rPr>
        <w:rFonts w:ascii="Arial" w:eastAsia="Arial" w:hAnsi="Arial" w:cs="Arial"/>
        <w:b/>
        <w:noProof/>
        <w:color w:val="333333"/>
        <w:sz w:val="28"/>
        <w:szCs w:val="28"/>
      </w:rPr>
      <w:drawing>
        <wp:anchor distT="0" distB="0" distL="114300" distR="114300" simplePos="0" relativeHeight="251658240" behindDoc="0" locked="0" layoutInCell="1" allowOverlap="1">
          <wp:simplePos x="0" y="0"/>
          <wp:positionH relativeFrom="margin">
            <wp:posOffset>-628649</wp:posOffset>
          </wp:positionH>
          <wp:positionV relativeFrom="margin">
            <wp:posOffset>-1049654</wp:posOffset>
          </wp:positionV>
          <wp:extent cx="748030" cy="82296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8030" cy="822960"/>
                  </a:xfrm>
                  <a:prstGeom prst="rect">
                    <a:avLst/>
                  </a:prstGeom>
                  <a:ln/>
                </pic:spPr>
              </pic:pic>
            </a:graphicData>
          </a:graphic>
        </wp:anchor>
      </w:drawing>
    </w:r>
    <w:r>
      <w:rPr>
        <w:rFonts w:ascii="Arial" w:eastAsia="Arial" w:hAnsi="Arial" w:cs="Arial"/>
        <w:b/>
        <w:color w:val="333333"/>
        <w:sz w:val="28"/>
        <w:szCs w:val="28"/>
      </w:rPr>
      <w:t>CÂMARA DE VEREADORES DE SAPUCAIA DO SUL</w:t>
    </w:r>
  </w:p>
  <w:p w:rsidR="002D01FE" w:rsidRDefault="00E95FF1">
    <w:pPr>
      <w:ind w:left="708"/>
      <w:jc w:val="center"/>
      <w:rPr>
        <w:rFonts w:ascii="Arial" w:eastAsia="Arial" w:hAnsi="Arial" w:cs="Arial"/>
        <w:color w:val="333333"/>
        <w:sz w:val="20"/>
        <w:szCs w:val="20"/>
      </w:rPr>
    </w:pPr>
    <w:r>
      <w:rPr>
        <w:rFonts w:ascii="Arial" w:eastAsia="Arial" w:hAnsi="Arial" w:cs="Arial"/>
        <w:color w:val="333333"/>
        <w:sz w:val="20"/>
        <w:szCs w:val="20"/>
      </w:rPr>
      <w:t xml:space="preserve">Av. Assis Brasil, nº51, Centro, CEP 93.220-050 - Sapucaia do Sul - Rio Grande do </w:t>
    </w:r>
    <w:proofErr w:type="gramStart"/>
    <w:r>
      <w:rPr>
        <w:rFonts w:ascii="Arial" w:eastAsia="Arial" w:hAnsi="Arial" w:cs="Arial"/>
        <w:color w:val="333333"/>
        <w:sz w:val="20"/>
        <w:szCs w:val="20"/>
      </w:rPr>
      <w:t>Sul</w:t>
    </w:r>
    <w:proofErr w:type="gramEnd"/>
  </w:p>
  <w:p w:rsidR="002D01FE" w:rsidRDefault="00E95FF1">
    <w:pPr>
      <w:ind w:left="708"/>
      <w:jc w:val="center"/>
      <w:rPr>
        <w:rFonts w:ascii="Arial" w:eastAsia="Arial" w:hAnsi="Arial" w:cs="Arial"/>
        <w:color w:val="333333"/>
        <w:sz w:val="20"/>
        <w:szCs w:val="20"/>
      </w:rPr>
    </w:pPr>
    <w:r>
      <w:rPr>
        <w:rFonts w:ascii="Arial" w:eastAsia="Arial" w:hAnsi="Arial" w:cs="Arial"/>
        <w:color w:val="333333"/>
        <w:sz w:val="20"/>
        <w:szCs w:val="20"/>
      </w:rPr>
      <w:t>Fones (51) 3474-1887 / 3474-1226 - Fax: 3474-1081</w:t>
    </w:r>
  </w:p>
  <w:p w:rsidR="002D01FE" w:rsidRDefault="002D01FE">
    <w:pPr>
      <w:pBdr>
        <w:top w:val="nil"/>
        <w:left w:val="nil"/>
        <w:bottom w:val="nil"/>
        <w:right w:val="nil"/>
        <w:between w:val="nil"/>
      </w:pBdr>
      <w:tabs>
        <w:tab w:val="center" w:pos="4252"/>
        <w:tab w:val="right" w:pos="8504"/>
      </w:tabs>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647DD9"/>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2D01FE"/>
    <w:rsid w:val="002201AC"/>
    <w:rsid w:val="002D01FE"/>
    <w:rsid w:val="00393354"/>
    <w:rsid w:val="008C2586"/>
    <w:rsid w:val="00A10B30"/>
    <w:rsid w:val="00AB065B"/>
    <w:rsid w:val="00B56F09"/>
    <w:rsid w:val="00E95FF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065B"/>
  </w:style>
  <w:style w:type="paragraph" w:styleId="Ttulo1">
    <w:name w:val="heading 1"/>
    <w:basedOn w:val="Normal"/>
    <w:next w:val="Normal"/>
    <w:uiPriority w:val="9"/>
    <w:qFormat/>
    <w:rsid w:val="00AB065B"/>
    <w:pPr>
      <w:keepNext/>
      <w:outlineLvl w:val="0"/>
    </w:pPr>
    <w:rPr>
      <w:sz w:val="36"/>
      <w:szCs w:val="36"/>
    </w:rPr>
  </w:style>
  <w:style w:type="paragraph" w:styleId="Ttulo2">
    <w:name w:val="heading 2"/>
    <w:basedOn w:val="Normal"/>
    <w:next w:val="Normal"/>
    <w:uiPriority w:val="9"/>
    <w:semiHidden/>
    <w:unhideWhenUsed/>
    <w:qFormat/>
    <w:rsid w:val="00AB065B"/>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AB065B"/>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AB065B"/>
    <w:pPr>
      <w:keepNext/>
      <w:keepLines/>
      <w:spacing w:before="240" w:after="40"/>
      <w:outlineLvl w:val="3"/>
    </w:pPr>
    <w:rPr>
      <w:b/>
    </w:rPr>
  </w:style>
  <w:style w:type="paragraph" w:styleId="Ttulo5">
    <w:name w:val="heading 5"/>
    <w:basedOn w:val="Normal"/>
    <w:next w:val="Normal"/>
    <w:uiPriority w:val="9"/>
    <w:semiHidden/>
    <w:unhideWhenUsed/>
    <w:qFormat/>
    <w:rsid w:val="00AB065B"/>
    <w:pPr>
      <w:keepNext/>
      <w:keepLines/>
      <w:spacing w:before="220" w:after="40"/>
      <w:outlineLvl w:val="4"/>
    </w:pPr>
    <w:rPr>
      <w:b/>
      <w:sz w:val="22"/>
      <w:szCs w:val="22"/>
    </w:rPr>
  </w:style>
  <w:style w:type="paragraph" w:styleId="Ttulo6">
    <w:name w:val="heading 6"/>
    <w:basedOn w:val="Normal"/>
    <w:next w:val="Normal"/>
    <w:uiPriority w:val="9"/>
    <w:semiHidden/>
    <w:unhideWhenUsed/>
    <w:qFormat/>
    <w:rsid w:val="00AB065B"/>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AB065B"/>
    <w:tblPr>
      <w:tblCellMar>
        <w:top w:w="0" w:type="dxa"/>
        <w:left w:w="0" w:type="dxa"/>
        <w:bottom w:w="0" w:type="dxa"/>
        <w:right w:w="0" w:type="dxa"/>
      </w:tblCellMar>
    </w:tblPr>
  </w:style>
  <w:style w:type="paragraph" w:styleId="Ttulo">
    <w:name w:val="Title"/>
    <w:basedOn w:val="Normal"/>
    <w:next w:val="Normal"/>
    <w:uiPriority w:val="10"/>
    <w:qFormat/>
    <w:rsid w:val="00AB065B"/>
    <w:pPr>
      <w:keepNext/>
      <w:keepLines/>
      <w:spacing w:before="480" w:after="120"/>
    </w:pPr>
    <w:rPr>
      <w:b/>
      <w:sz w:val="72"/>
      <w:szCs w:val="72"/>
    </w:rPr>
  </w:style>
  <w:style w:type="paragraph" w:styleId="Subttulo">
    <w:name w:val="Subtitle"/>
    <w:basedOn w:val="Normal"/>
    <w:next w:val="Normal"/>
    <w:uiPriority w:val="11"/>
    <w:qFormat/>
    <w:rsid w:val="00AB065B"/>
    <w:pPr>
      <w:keepNext/>
      <w:keepLines/>
      <w:spacing w:before="360" w:after="80"/>
    </w:pPr>
    <w:rPr>
      <w:rFonts w:ascii="Georgia" w:eastAsia="Georgia" w:hAnsi="Georgia" w:cs="Georgia"/>
      <w:i/>
      <w:color w:val="666666"/>
      <w:sz w:val="48"/>
      <w:szCs w:val="48"/>
    </w:rPr>
  </w:style>
  <w:style w:type="paragraph" w:styleId="Textodenotaderodap">
    <w:name w:val="footnote text"/>
    <w:basedOn w:val="Normal"/>
    <w:link w:val="TextodenotaderodapChar"/>
    <w:uiPriority w:val="99"/>
    <w:semiHidden/>
    <w:unhideWhenUsed/>
    <w:rsid w:val="00A10B30"/>
    <w:rPr>
      <w:sz w:val="20"/>
      <w:szCs w:val="20"/>
    </w:rPr>
  </w:style>
  <w:style w:type="character" w:customStyle="1" w:styleId="TextodenotaderodapChar">
    <w:name w:val="Texto de nota de rodapé Char"/>
    <w:basedOn w:val="Fontepargpadro"/>
    <w:link w:val="Textodenotaderodap"/>
    <w:uiPriority w:val="99"/>
    <w:semiHidden/>
    <w:rsid w:val="00A10B30"/>
    <w:rPr>
      <w:sz w:val="20"/>
      <w:szCs w:val="20"/>
    </w:rPr>
  </w:style>
  <w:style w:type="character" w:styleId="Refdenotaderodap">
    <w:name w:val="footnote reference"/>
    <w:basedOn w:val="Fontepargpadro"/>
    <w:uiPriority w:val="99"/>
    <w:semiHidden/>
    <w:unhideWhenUsed/>
    <w:rsid w:val="00A10B30"/>
    <w:rPr>
      <w:vertAlign w:val="superscript"/>
    </w:rPr>
  </w:style>
  <w:style w:type="character" w:styleId="Forte">
    <w:name w:val="Strong"/>
    <w:basedOn w:val="Fontepargpadro"/>
    <w:uiPriority w:val="22"/>
    <w:qFormat/>
    <w:rsid w:val="00393354"/>
    <w:rPr>
      <w:b/>
      <w:bCs/>
    </w:rPr>
  </w:style>
  <w:style w:type="character" w:customStyle="1" w:styleId="firstementa">
    <w:name w:val="firstementa"/>
    <w:basedOn w:val="Fontepargpadro"/>
    <w:rsid w:val="00393354"/>
  </w:style>
  <w:style w:type="character" w:customStyle="1" w:styleId="hidden-text">
    <w:name w:val="hidden-text"/>
    <w:basedOn w:val="Fontepargpadro"/>
    <w:rsid w:val="00393354"/>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A8748E-E193-46D5-BAFD-B2CE46D1B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2247</Words>
  <Characters>12135</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Roberto da Fonseca Junior</dc:creator>
  <cp:lastModifiedBy>Joao Roberto da Fonseca Junior</cp:lastModifiedBy>
  <cp:revision>3</cp:revision>
  <dcterms:created xsi:type="dcterms:W3CDTF">2023-03-22T14:13:00Z</dcterms:created>
  <dcterms:modified xsi:type="dcterms:W3CDTF">2023-03-22T14:17:00Z</dcterms:modified>
</cp:coreProperties>
</file>