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9B5" w:rsidRDefault="00D97F71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015</w:t>
      </w:r>
    </w:p>
    <w:p w:rsidR="003929B5" w:rsidRDefault="00D97F71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Nº do Processo: 24708</w:t>
      </w:r>
    </w:p>
    <w:p w:rsidR="003929B5" w:rsidRDefault="00D97F71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Requerente: Ver. Veridiana Pacheco</w:t>
      </w:r>
    </w:p>
    <w:p w:rsidR="003929B5" w:rsidRDefault="00D97F71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 Projeto de Lei do Legislativo (PLL)</w:t>
      </w:r>
    </w:p>
    <w:p w:rsidR="003929B5" w:rsidRDefault="00D97F71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Data de Conclusão à Procuradoria: 30/03/2023</w:t>
      </w:r>
    </w:p>
    <w:p w:rsidR="003929B5" w:rsidRDefault="003929B5">
      <w:pPr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3929B5" w:rsidRDefault="003929B5">
      <w:pPr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>Institui o segundo domingo de junho como o Dia do Pastor Evangélico, inclui no calendário de eventos do município e dá outras providências.</w:t>
      </w:r>
      <w:r>
        <w:rPr>
          <w:rFonts w:ascii="Arial" w:eastAsia="Arial" w:hAnsi="Arial" w:cs="Arial"/>
          <w:sz w:val="28"/>
          <w:szCs w:val="28"/>
        </w:rPr>
        <w:t>”. Constam dos autos eletrônicos os seguintes documentos:</w:t>
      </w:r>
    </w:p>
    <w:p w:rsidR="003929B5" w:rsidRDefault="003929B5">
      <w:pPr>
        <w:jc w:val="both"/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54091 (página única);</w:t>
      </w:r>
    </w:p>
    <w:p w:rsidR="003929B5" w:rsidRDefault="00D97F71">
      <w:pPr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54265 (página única);</w:t>
      </w:r>
    </w:p>
    <w:p w:rsidR="003929B5" w:rsidRDefault="003929B5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spacing w:before="240" w:after="24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3929B5" w:rsidRDefault="00D97F71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</w:r>
      <w:proofErr w:type="gramStart"/>
      <w:r>
        <w:rPr>
          <w:rFonts w:ascii="Arial" w:eastAsia="Arial" w:hAnsi="Arial" w:cs="Arial"/>
          <w:sz w:val="28"/>
          <w:szCs w:val="28"/>
        </w:rPr>
        <w:t>A fixação de datas comemorativas e eventos públicos em âmbito municipal está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inserida no contexto da autonomia política de que os Municípios dispõem para legislar sobre assuntos de interesse local, e de suplementar a legislação federal e estadual no que couber (art. 30, I </w:t>
      </w:r>
      <w:proofErr w:type="gramStart"/>
      <w:r>
        <w:rPr>
          <w:rFonts w:ascii="Arial" w:eastAsia="Arial" w:hAnsi="Arial" w:cs="Arial"/>
          <w:sz w:val="28"/>
          <w:szCs w:val="28"/>
        </w:rPr>
        <w:t>e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II da CF88). Na Lei Orgânica Municipal:</w:t>
      </w:r>
    </w:p>
    <w:p w:rsidR="003929B5" w:rsidRDefault="00D97F71">
      <w:pPr>
        <w:spacing w:before="240" w:after="24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3929B5" w:rsidRDefault="00D97F71">
      <w:pPr>
        <w:spacing w:before="240" w:after="24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I - legislar sobre assuntos de interesse local;</w:t>
      </w:r>
    </w:p>
    <w:p w:rsidR="003929B5" w:rsidRDefault="003929B5">
      <w:pPr>
        <w:spacing w:before="240" w:after="240"/>
        <w:jc w:val="both"/>
        <w:rPr>
          <w:rFonts w:ascii="Arial" w:eastAsia="Arial" w:hAnsi="Arial" w:cs="Arial"/>
          <w:i/>
          <w:sz w:val="28"/>
          <w:szCs w:val="28"/>
        </w:rPr>
      </w:pPr>
    </w:p>
    <w:p w:rsidR="003929B5" w:rsidRDefault="00D97F71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 respeito do poder de iniciativa parlamentar, os artigos 60, inciso II, alínea “d”, 82, incisos III e VII, ambos da Constituição Estadual, </w:t>
      </w:r>
      <w:r>
        <w:rPr>
          <w:rFonts w:ascii="Arial" w:eastAsia="Arial" w:hAnsi="Arial" w:cs="Arial"/>
          <w:sz w:val="28"/>
          <w:szCs w:val="28"/>
        </w:rPr>
        <w:lastRenderedPageBreak/>
        <w:t>combinados com os artigos 61, §1º, II, “b”, e 84, III, da Constituição Federal, impossibilitam que o Poder Legislativo instaure processo estabelecendo ou modificando estruturas, atribuições ou funcionamento da administração pública municipal. Ou seja, são hipóteses de iniciativa reservada ao Prefeito Municipal. Transcrevemos:</w:t>
      </w:r>
    </w:p>
    <w:p w:rsidR="003929B5" w:rsidRDefault="003929B5">
      <w:pPr>
        <w:ind w:left="3400"/>
        <w:jc w:val="both"/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60. São de iniciativa privativa do Governador do Estado </w:t>
      </w:r>
      <w:proofErr w:type="gramStart"/>
      <w:r>
        <w:rPr>
          <w:rFonts w:ascii="Arial" w:eastAsia="Arial" w:hAnsi="Arial" w:cs="Arial"/>
          <w:sz w:val="28"/>
          <w:szCs w:val="28"/>
        </w:rPr>
        <w:t>as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leis que: (...)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- disponham sobre: (...)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d) criação, estruturação e atribuições das Secretarias e órgãos da administração pública.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82. Compete ao Governador, privativamente: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- exercer, com o auxílio dos Secretários de Estado, a direção superior da administração estadual;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VII - dispor sobre a organização e o funcionamento da administração estadual;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 São de iniciativa privativa do Presidente da República as leis que: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(...)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- disponham sobre: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 criação de cargos, funções ou empregos públicos na administração direta e autárquica ou aumento de sua remuneração;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organização administrativa e judiciária, matéria tributária e orçamentária, serviços </w:t>
      </w:r>
      <w:proofErr w:type="gramStart"/>
      <w:r>
        <w:rPr>
          <w:rFonts w:ascii="Arial" w:eastAsia="Arial" w:hAnsi="Arial" w:cs="Arial"/>
          <w:sz w:val="28"/>
          <w:szCs w:val="28"/>
        </w:rPr>
        <w:lastRenderedPageBreak/>
        <w:t>públicos e pessoal da administração dos Territórios</w:t>
      </w:r>
      <w:proofErr w:type="gramEnd"/>
      <w:r>
        <w:rPr>
          <w:rFonts w:ascii="Arial" w:eastAsia="Arial" w:hAnsi="Arial" w:cs="Arial"/>
          <w:sz w:val="28"/>
          <w:szCs w:val="28"/>
        </w:rPr>
        <w:t>;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84. Compete privativamente ao Presidente da República: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nomear e exonerar os Ministros de Estado;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- exercer, com o auxílio dos Ministros de Estado, a direção superior da administração federal;</w:t>
      </w:r>
    </w:p>
    <w:p w:rsidR="003929B5" w:rsidRDefault="00D97F71">
      <w:pPr>
        <w:ind w:left="34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III - iniciar o processo legislativo, na forma e nos casos previstos nesta Constituição;</w:t>
      </w:r>
    </w:p>
    <w:p w:rsidR="003929B5" w:rsidRDefault="00D97F71">
      <w:pPr>
        <w:spacing w:before="240" w:after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</w:t>
      </w:r>
    </w:p>
    <w:p w:rsidR="003929B5" w:rsidRDefault="00D97F71">
      <w:pPr>
        <w:spacing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No âmbito municipal, as hipóteses de competência privativa do Prefeito são assim definidas pela Lei Orgânica:</w:t>
      </w:r>
    </w:p>
    <w:p w:rsidR="003929B5" w:rsidRDefault="003929B5">
      <w:pPr>
        <w:spacing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55 </w:t>
      </w:r>
      <w:proofErr w:type="gramStart"/>
      <w:r>
        <w:rPr>
          <w:rFonts w:ascii="Arial" w:eastAsia="Arial" w:hAnsi="Arial" w:cs="Arial"/>
          <w:sz w:val="28"/>
          <w:szCs w:val="28"/>
        </w:rPr>
        <w:t>Compete,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privativamente ao Prefeito, a iniciativa de projetos de lei que disponham sobre:</w:t>
      </w: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criação de cargos, funções ou empregos públicos na administração direta e indireta do Poder Executivo, ou aumento de sua remuneração;</w:t>
      </w: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- servidores públicos do Poder Executivo, seu regime jurídico e provimento de cargos;</w:t>
      </w: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III - criação, estruturação e atribuições das Secretarias Municipais e órgãos da Administração Pública Municipal;</w:t>
      </w: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IV - proposições que geram despesas ou que comprometam receitas do Município.</w:t>
      </w: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56. Não serão admitidas emendas que aumentem a despesa nos projetos de leis de iniciativa exclusiva do Prefeito, nem nos projetos de resolução que versem sobre a </w:t>
      </w:r>
      <w:r>
        <w:rPr>
          <w:rFonts w:ascii="Arial" w:eastAsia="Arial" w:hAnsi="Arial" w:cs="Arial"/>
          <w:sz w:val="28"/>
          <w:szCs w:val="28"/>
        </w:rPr>
        <w:lastRenderedPageBreak/>
        <w:t>organização dos serviços administrativos da Câmara Municipal.</w:t>
      </w:r>
    </w:p>
    <w:p w:rsidR="003929B5" w:rsidRDefault="003929B5">
      <w:pPr>
        <w:spacing w:after="16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3929B5" w:rsidRDefault="00D97F71">
      <w:pPr>
        <w:spacing w:before="240" w:after="16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Ao que se </w:t>
      </w:r>
      <w:proofErr w:type="gramStart"/>
      <w:r>
        <w:rPr>
          <w:rFonts w:ascii="Arial" w:eastAsia="Arial" w:hAnsi="Arial" w:cs="Arial"/>
          <w:sz w:val="28"/>
          <w:szCs w:val="28"/>
        </w:rPr>
        <w:t>apresenta,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nenhuma das matérias sujeitas à iniciativa legislativa reservada ao chefe do Poder Executivo (aplicáveis ao município pelo princípio da simetria) é objeto da proposição, nem o projeto visa criar, extinguir ou modificar órgão administrativo, ou mesmo conferir nova atribuição a órgão da administração pública, a exigir iniciativa legislativa do Prefeito Municipal. </w:t>
      </w:r>
    </w:p>
    <w:p w:rsidR="003929B5" w:rsidRDefault="00D97F71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fim, registramos que a deliberação pelo plenário da nobre Casa Legislativa deve ser precedida da manifestação da Comissão de LEGISLAÇÃO E JUSTIÇA, por ser condição de tramitação do processo legislativo para todas as proposições em geral:</w:t>
      </w:r>
    </w:p>
    <w:p w:rsidR="003929B5" w:rsidRDefault="00D97F71">
      <w:pPr>
        <w:spacing w:before="240" w:after="240"/>
        <w:ind w:left="36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3929B5" w:rsidRDefault="00D97F71">
      <w:pPr>
        <w:spacing w:before="240" w:after="240"/>
        <w:ind w:left="36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3929B5" w:rsidRDefault="00D97F71">
      <w:pPr>
        <w:spacing w:before="240" w:after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spacing w:before="240" w:after="24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3929B5" w:rsidRDefault="00D97F71">
      <w:pPr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Em conformidade com os fundamentos </w:t>
      </w:r>
      <w:proofErr w:type="gramStart"/>
      <w:r>
        <w:rPr>
          <w:rFonts w:ascii="Arial" w:eastAsia="Arial" w:hAnsi="Arial" w:cs="Arial"/>
          <w:sz w:val="28"/>
          <w:szCs w:val="28"/>
        </w:rPr>
        <w:t>normativos e precedente jurisprudencial acima apresentados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, encaminhamos o expediente para </w:t>
      </w:r>
      <w:r>
        <w:rPr>
          <w:rFonts w:ascii="Arial" w:eastAsia="Arial" w:hAnsi="Arial" w:cs="Arial"/>
          <w:sz w:val="28"/>
          <w:szCs w:val="28"/>
        </w:rPr>
        <w:lastRenderedPageBreak/>
        <w:t>prosseguimento opinando pela</w:t>
      </w:r>
      <w:r>
        <w:rPr>
          <w:rFonts w:ascii="Arial" w:eastAsia="Arial" w:hAnsi="Arial" w:cs="Arial"/>
          <w:b/>
          <w:sz w:val="28"/>
          <w:szCs w:val="28"/>
        </w:rPr>
        <w:t xml:space="preserve"> viabilidade da tramitação</w:t>
      </w:r>
      <w:r>
        <w:rPr>
          <w:rFonts w:ascii="Arial" w:eastAsia="Arial" w:hAnsi="Arial" w:cs="Arial"/>
          <w:sz w:val="28"/>
          <w:szCs w:val="28"/>
        </w:rPr>
        <w:t xml:space="preserve">, eis que a deliberação sobre a matéria está ao alcance do poder de iniciativa parlamentar. Assevera-se, </w:t>
      </w:r>
      <w:proofErr w:type="gramStart"/>
      <w:r>
        <w:rPr>
          <w:rFonts w:ascii="Arial" w:eastAsia="Arial" w:hAnsi="Arial" w:cs="Arial"/>
          <w:sz w:val="28"/>
          <w:szCs w:val="28"/>
        </w:rPr>
        <w:t>outrossim</w:t>
      </w:r>
      <w:proofErr w:type="gramEnd"/>
      <w:r>
        <w:rPr>
          <w:rFonts w:ascii="Arial" w:eastAsia="Arial" w:hAnsi="Arial" w:cs="Arial"/>
          <w:sz w:val="28"/>
          <w:szCs w:val="28"/>
        </w:rPr>
        <w:t>, que o presente parecer tem natureza opinativa e não vincula a decisão das comissões. À conclusão superior, e com aprovação, encaminhem-se os autos à DIRETORIA LEGISLATIVA para as devidas diligências.</w:t>
      </w:r>
    </w:p>
    <w:p w:rsidR="003929B5" w:rsidRDefault="00D97F71">
      <w:pPr>
        <w:spacing w:before="240" w:after="240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spacing w:before="240" w:after="240"/>
        <w:ind w:firstLine="70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5 de abril de 2023</w:t>
      </w:r>
      <w:r w:rsidR="00184084">
        <w:rPr>
          <w:rFonts w:ascii="Arial" w:eastAsia="Arial" w:hAnsi="Arial" w:cs="Arial"/>
          <w:sz w:val="28"/>
          <w:szCs w:val="28"/>
        </w:rPr>
        <w:t>.</w:t>
      </w:r>
    </w:p>
    <w:p w:rsidR="003929B5" w:rsidRDefault="00D97F71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D97F71">
      <w:pPr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3929B5" w:rsidRDefault="00D97F71">
      <w:pPr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3929B5" w:rsidRDefault="00D97F71">
      <w:pPr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p w:rsidR="003929B5" w:rsidRDefault="00D97F71">
      <w:pPr>
        <w:spacing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3929B5" w:rsidRDefault="003929B5">
      <w:pPr>
        <w:rPr>
          <w:rFonts w:ascii="Arial" w:eastAsia="Arial" w:hAnsi="Arial" w:cs="Arial"/>
          <w:b/>
          <w:sz w:val="28"/>
          <w:szCs w:val="28"/>
        </w:rPr>
      </w:pPr>
    </w:p>
    <w:sectPr w:rsidR="003929B5" w:rsidSect="00CD1E1C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729" w:rsidRDefault="00DC3729">
      <w:r>
        <w:separator/>
      </w:r>
    </w:p>
  </w:endnote>
  <w:endnote w:type="continuationSeparator" w:id="0">
    <w:p w:rsidR="00DC3729" w:rsidRDefault="00DC37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729" w:rsidRDefault="00DC3729">
      <w:r>
        <w:separator/>
      </w:r>
    </w:p>
  </w:footnote>
  <w:footnote w:type="continuationSeparator" w:id="0">
    <w:p w:rsidR="00DC3729" w:rsidRDefault="00DC37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29B5" w:rsidRDefault="00D97F71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3929B5" w:rsidRDefault="00D97F7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3929B5" w:rsidRDefault="00D97F7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3929B5" w:rsidRDefault="003929B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911A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29B5"/>
    <w:rsid w:val="00184084"/>
    <w:rsid w:val="003929B5"/>
    <w:rsid w:val="00CD1E1C"/>
    <w:rsid w:val="00CE1A66"/>
    <w:rsid w:val="00D97F71"/>
    <w:rsid w:val="00DC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E1C"/>
  </w:style>
  <w:style w:type="paragraph" w:styleId="Ttulo1">
    <w:name w:val="heading 1"/>
    <w:basedOn w:val="Normal"/>
    <w:next w:val="Normal"/>
    <w:uiPriority w:val="9"/>
    <w:qFormat/>
    <w:rsid w:val="00CD1E1C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CD1E1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CD1E1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CD1E1C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CD1E1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CD1E1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CD1E1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CD1E1C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CD1E1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886</Words>
  <Characters>4786</Characters>
  <Application>Microsoft Office Word</Application>
  <DocSecurity>0</DocSecurity>
  <Lines>39</Lines>
  <Paragraphs>11</Paragraphs>
  <ScaleCrop>false</ScaleCrop>
  <Company/>
  <LinksUpToDate>false</LinksUpToDate>
  <CharactersWithSpaces>5661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2023-04-05T15:30:00Z</dcterms:created>
  <dcterms:modified xsi:type="dcterms:W3CDTF">2023-04-05T15:30:00Z</dcterms:modified>
</cp:coreProperties>
</file>