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67F" w:rsidRDefault="00307B7F">
      <w:pPr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Mensagem nº 17</w:t>
      </w:r>
    </w:p>
    <w:p w:rsidR="004E667F" w:rsidRDefault="00307B7F">
      <w:pPr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Processo nº 24778</w:t>
      </w:r>
    </w:p>
    <w:p w:rsidR="004E667F" w:rsidRDefault="00307B7F">
      <w:pPr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Proponente: Poder Executivo Municipal</w:t>
      </w:r>
    </w:p>
    <w:p w:rsidR="004E667F" w:rsidRDefault="00307B7F">
      <w:pPr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 xml:space="preserve">Regime de tramitação: </w:t>
      </w:r>
      <w:r>
        <w:rPr>
          <w:rFonts w:ascii="Arial" w:eastAsia="Arial" w:hAnsi="Arial" w:cs="Arial"/>
          <w:sz w:val="32"/>
          <w:szCs w:val="32"/>
        </w:rPr>
        <w:t>Normal</w:t>
      </w:r>
    </w:p>
    <w:p w:rsidR="004E667F" w:rsidRDefault="00307B7F">
      <w:pPr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 xml:space="preserve">Data de Conclusão à Procuradoria: </w:t>
      </w:r>
      <w:r>
        <w:rPr>
          <w:rFonts w:ascii="Arial" w:eastAsia="Arial" w:hAnsi="Arial" w:cs="Arial"/>
          <w:sz w:val="32"/>
          <w:szCs w:val="32"/>
        </w:rPr>
        <w:t>11/04/2023</w:t>
      </w:r>
    </w:p>
    <w:p w:rsidR="004E667F" w:rsidRDefault="004E667F">
      <w:pPr>
        <w:rPr>
          <w:rFonts w:ascii="Arial" w:eastAsia="Arial" w:hAnsi="Arial" w:cs="Arial"/>
          <w:sz w:val="28"/>
          <w:szCs w:val="28"/>
        </w:rPr>
      </w:pPr>
    </w:p>
    <w:p w:rsidR="004E667F" w:rsidRDefault="00307B7F" w:rsidP="00B22910">
      <w:pPr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RELATÓRIO</w:t>
      </w:r>
    </w:p>
    <w:p w:rsidR="004E667F" w:rsidRDefault="004E667F">
      <w:pPr>
        <w:rPr>
          <w:rFonts w:ascii="Arial" w:eastAsia="Arial" w:hAnsi="Arial" w:cs="Arial"/>
          <w:sz w:val="28"/>
          <w:szCs w:val="28"/>
        </w:rPr>
      </w:pPr>
    </w:p>
    <w:p w:rsidR="004E667F" w:rsidRDefault="00307B7F">
      <w:p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  <w:t>Trata-se de mensagem de origem do Poder Executivo Municipal, cujo mérito solicita aprovação do colendo Plenário para Projeto de Lei que “</w:t>
      </w:r>
      <w:r>
        <w:rPr>
          <w:rFonts w:ascii="Arial" w:eastAsia="Arial" w:hAnsi="Arial" w:cs="Arial"/>
          <w:i/>
          <w:sz w:val="28"/>
          <w:szCs w:val="28"/>
        </w:rPr>
        <w:t>autoriza a concessão de subsídio na tarifa do transporte público coletivo de Sapucaia do Sul</w:t>
      </w:r>
      <w:r>
        <w:rPr>
          <w:rFonts w:ascii="Arial" w:eastAsia="Arial" w:hAnsi="Arial" w:cs="Arial"/>
          <w:sz w:val="28"/>
          <w:szCs w:val="28"/>
        </w:rPr>
        <w:t>”. Constam dos autos eletrônicos os seguintes documentos:</w:t>
      </w:r>
    </w:p>
    <w:p w:rsidR="004E667F" w:rsidRDefault="004E667F">
      <w:pPr>
        <w:jc w:val="both"/>
        <w:rPr>
          <w:rFonts w:ascii="Arial" w:eastAsia="Arial" w:hAnsi="Arial" w:cs="Arial"/>
          <w:sz w:val="28"/>
          <w:szCs w:val="28"/>
        </w:rPr>
      </w:pPr>
    </w:p>
    <w:p w:rsidR="004E667F" w:rsidRDefault="00307B7F">
      <w:pPr>
        <w:numPr>
          <w:ilvl w:val="0"/>
          <w:numId w:val="1"/>
        </w:num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ID 54741 (</w:t>
      </w:r>
      <w:proofErr w:type="spellStart"/>
      <w:r>
        <w:rPr>
          <w:rFonts w:ascii="Arial" w:eastAsia="Arial" w:hAnsi="Arial" w:cs="Arial"/>
          <w:sz w:val="28"/>
          <w:szCs w:val="28"/>
        </w:rPr>
        <w:t>pdf</w:t>
      </w:r>
      <w:proofErr w:type="spellEnd"/>
      <w:r>
        <w:rPr>
          <w:rFonts w:ascii="Arial" w:eastAsia="Arial" w:hAnsi="Arial" w:cs="Arial"/>
          <w:sz w:val="28"/>
          <w:szCs w:val="28"/>
        </w:rPr>
        <w:t xml:space="preserve">, </w:t>
      </w:r>
      <w:proofErr w:type="gramStart"/>
      <w:r>
        <w:rPr>
          <w:rFonts w:ascii="Arial" w:eastAsia="Arial" w:hAnsi="Arial" w:cs="Arial"/>
          <w:sz w:val="28"/>
          <w:szCs w:val="28"/>
        </w:rPr>
        <w:t>7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páginas);</w:t>
      </w:r>
    </w:p>
    <w:p w:rsidR="004E667F" w:rsidRDefault="00307B7F">
      <w:pPr>
        <w:numPr>
          <w:ilvl w:val="0"/>
          <w:numId w:val="1"/>
        </w:num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ID 54927 (página única).</w:t>
      </w:r>
    </w:p>
    <w:p w:rsidR="004E667F" w:rsidRDefault="004E667F">
      <w:pPr>
        <w:ind w:left="720"/>
        <w:jc w:val="both"/>
        <w:rPr>
          <w:rFonts w:ascii="Arial" w:eastAsia="Arial" w:hAnsi="Arial" w:cs="Arial"/>
          <w:sz w:val="28"/>
          <w:szCs w:val="28"/>
        </w:rPr>
      </w:pPr>
    </w:p>
    <w:p w:rsidR="004E667F" w:rsidRDefault="004E667F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4E667F" w:rsidRDefault="00307B7F" w:rsidP="00B22910">
      <w:pPr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PARECER</w:t>
      </w:r>
    </w:p>
    <w:p w:rsidR="004E667F" w:rsidRDefault="004E667F">
      <w:pPr>
        <w:rPr>
          <w:rFonts w:ascii="Arial" w:eastAsia="Arial" w:hAnsi="Arial" w:cs="Arial"/>
          <w:sz w:val="28"/>
          <w:szCs w:val="28"/>
        </w:rPr>
      </w:pPr>
    </w:p>
    <w:p w:rsidR="004E667F" w:rsidRDefault="00307B7F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  <w:t>A proposição trata sobre modificação no regime de concessão de subsídio financeiro ao transporte público coletivo municipal, alterando a fundamentação da medida, os mecanismos de funcionamento da política de prestação desse serviço público, e solicitando autorizações relacionadas ao desiderato.</w:t>
      </w:r>
    </w:p>
    <w:p w:rsidR="004E667F" w:rsidRDefault="004E667F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4E667F" w:rsidRDefault="00307B7F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  <w:t xml:space="preserve">A fundamentação da medida, anteriormente relacionada aos efeitos negativos que as medidas emergenciais adotadas pela administração pública para evitar a proliferação da doença COVID-19 ocasionaram na respectiva atividade econômica deixa de ser a motivação do ato, passando a embasá-lo na mudança do hábito de locomoção da população, que teria passado a utilizar menos o transporte público, tornando deficitária a manutenção do serviço apenas suporte no pagamento da tarifa. </w:t>
      </w:r>
    </w:p>
    <w:p w:rsidR="004E667F" w:rsidRDefault="004E667F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4E667F" w:rsidRDefault="00307B7F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  <w:t>A respeito dessa motivação, cumpre apenas registrar que a alteração de fundamento implica na</w:t>
      </w:r>
      <w:r>
        <w:rPr>
          <w:rFonts w:ascii="Arial" w:eastAsia="Arial" w:hAnsi="Arial" w:cs="Arial"/>
          <w:i/>
          <w:sz w:val="28"/>
          <w:szCs w:val="28"/>
        </w:rPr>
        <w:t xml:space="preserve"> inaplicabilidade</w:t>
      </w:r>
      <w:r>
        <w:rPr>
          <w:rFonts w:ascii="Arial" w:eastAsia="Arial" w:hAnsi="Arial" w:cs="Arial"/>
          <w:sz w:val="28"/>
          <w:szCs w:val="28"/>
        </w:rPr>
        <w:t xml:space="preserve"> da autorização contida na ADI n° 6357, que afastou as exigências relativas à demonstração de adequação e compensação orçamentária para a criação e expansão de programas públicos destinados ao enfrentamento da Covid-19, ou no regime extraordinário fiscal instituído pela Emenda Constitucional n° 106/2020. </w:t>
      </w:r>
    </w:p>
    <w:p w:rsidR="004E667F" w:rsidRDefault="004E667F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4E667F" w:rsidRDefault="00307B7F">
      <w:pPr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Desta sorte, no que se refere ao aspecto fiscal, o </w:t>
      </w:r>
      <w:r>
        <w:rPr>
          <w:rFonts w:ascii="Arial" w:eastAsia="Arial" w:hAnsi="Arial" w:cs="Arial"/>
          <w:b/>
          <w:sz w:val="28"/>
          <w:szCs w:val="28"/>
        </w:rPr>
        <w:t xml:space="preserve">presente parecer toma por base a </w:t>
      </w:r>
      <w:r>
        <w:rPr>
          <w:rFonts w:ascii="Arial" w:eastAsia="Arial" w:hAnsi="Arial" w:cs="Arial"/>
          <w:b/>
          <w:sz w:val="28"/>
          <w:szCs w:val="28"/>
          <w:u w:val="single"/>
        </w:rPr>
        <w:t>premissa</w:t>
      </w:r>
      <w:r>
        <w:rPr>
          <w:rFonts w:ascii="Arial" w:eastAsia="Arial" w:hAnsi="Arial" w:cs="Arial"/>
          <w:b/>
          <w:sz w:val="28"/>
          <w:szCs w:val="28"/>
        </w:rPr>
        <w:t xml:space="preserve"> de que se trata de benefício fiscal de natureza </w:t>
      </w:r>
      <w:r>
        <w:rPr>
          <w:rFonts w:ascii="Arial" w:eastAsia="Arial" w:hAnsi="Arial" w:cs="Arial"/>
          <w:b/>
          <w:sz w:val="28"/>
          <w:szCs w:val="28"/>
          <w:u w:val="single"/>
        </w:rPr>
        <w:t>não continuada</w:t>
      </w:r>
      <w:r>
        <w:rPr>
          <w:rFonts w:ascii="Arial" w:eastAsia="Arial" w:hAnsi="Arial" w:cs="Arial"/>
          <w:sz w:val="28"/>
          <w:szCs w:val="28"/>
        </w:rPr>
        <w:t xml:space="preserve">, eis que a </w:t>
      </w:r>
      <w:r>
        <w:rPr>
          <w:rFonts w:ascii="Arial" w:eastAsia="Arial" w:hAnsi="Arial" w:cs="Arial"/>
          <w:b/>
          <w:sz w:val="28"/>
          <w:szCs w:val="28"/>
        </w:rPr>
        <w:t xml:space="preserve">informação advinda da Secretaria da Fazenda </w:t>
      </w:r>
      <w:r>
        <w:rPr>
          <w:rFonts w:ascii="Arial" w:eastAsia="Arial" w:hAnsi="Arial" w:cs="Arial"/>
          <w:sz w:val="28"/>
          <w:szCs w:val="28"/>
        </w:rPr>
        <w:t>trata tão</w:t>
      </w:r>
      <w:r>
        <w:rPr>
          <w:rFonts w:ascii="Arial" w:eastAsia="Arial" w:hAnsi="Arial" w:cs="Arial"/>
          <w:b/>
          <w:sz w:val="28"/>
          <w:szCs w:val="28"/>
        </w:rPr>
        <w:t xml:space="preserve"> somente do exercício 2023,</w:t>
      </w:r>
      <w:r>
        <w:rPr>
          <w:rFonts w:ascii="Arial" w:eastAsia="Arial" w:hAnsi="Arial" w:cs="Arial"/>
          <w:sz w:val="28"/>
          <w:szCs w:val="28"/>
        </w:rPr>
        <w:t xml:space="preserve"> </w:t>
      </w:r>
      <w:r>
        <w:rPr>
          <w:rFonts w:ascii="Arial" w:eastAsia="Arial" w:hAnsi="Arial" w:cs="Arial"/>
          <w:i/>
          <w:sz w:val="28"/>
          <w:szCs w:val="28"/>
          <w:u w:val="single"/>
        </w:rPr>
        <w:t xml:space="preserve">atestando a existência de previsão na lei orçamentária anual </w:t>
      </w:r>
      <w:r>
        <w:rPr>
          <w:rFonts w:ascii="Arial" w:eastAsia="Arial" w:hAnsi="Arial" w:cs="Arial"/>
          <w:sz w:val="28"/>
          <w:szCs w:val="28"/>
        </w:rPr>
        <w:t xml:space="preserve">para atender as despesas criadas pela subvenção (doc. </w:t>
      </w:r>
      <w:proofErr w:type="gramStart"/>
      <w:r>
        <w:rPr>
          <w:rFonts w:ascii="Arial" w:eastAsia="Arial" w:hAnsi="Arial" w:cs="Arial"/>
          <w:sz w:val="28"/>
          <w:szCs w:val="28"/>
        </w:rPr>
        <w:t>ID.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54741, p.7), cuja vigência, entendemos, fica também restrita ao exercício de 2023. </w:t>
      </w:r>
      <w:r>
        <w:rPr>
          <w:rFonts w:ascii="Arial" w:eastAsia="Arial" w:hAnsi="Arial" w:cs="Arial"/>
          <w:i/>
          <w:sz w:val="28"/>
          <w:szCs w:val="28"/>
        </w:rPr>
        <w:t xml:space="preserve">Exclusivamente por essa razão </w:t>
      </w:r>
      <w:r>
        <w:rPr>
          <w:rFonts w:ascii="Arial" w:eastAsia="Arial" w:hAnsi="Arial" w:cs="Arial"/>
          <w:sz w:val="28"/>
          <w:szCs w:val="28"/>
        </w:rPr>
        <w:t>torna-se viável concluir pelo atendimento aos requisitos da Lei de Responsabilidade Fiscal no caso em análise.</w:t>
      </w:r>
    </w:p>
    <w:p w:rsidR="004E667F" w:rsidRDefault="004E667F">
      <w:pPr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4E667F" w:rsidRDefault="00307B7F">
      <w:pPr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Finalmente, no que se refere à tramitação do presente processo legislativo municipal, registramos que, anteriormente à deliberação pelo plenário da nobre Casa Legislativa, deve haver manifestação das seguintes comissões permanentes:</w:t>
      </w:r>
    </w:p>
    <w:p w:rsidR="004E667F" w:rsidRDefault="004E667F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4E667F" w:rsidRDefault="00307B7F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a) Legislação e Justiça, por ser condição de tramitação do processo legislativo para todas as proposições em geral:</w:t>
      </w:r>
    </w:p>
    <w:p w:rsidR="004E667F" w:rsidRDefault="004E667F">
      <w:pPr>
        <w:ind w:left="2160"/>
        <w:jc w:val="both"/>
        <w:rPr>
          <w:rFonts w:ascii="Arial" w:eastAsia="Arial" w:hAnsi="Arial" w:cs="Arial"/>
          <w:sz w:val="28"/>
          <w:szCs w:val="28"/>
        </w:rPr>
      </w:pPr>
    </w:p>
    <w:p w:rsidR="004E667F" w:rsidRDefault="00307B7F">
      <w:pPr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Art. 76- Compete à Comissão de Legislação e Justiça manifestar-se sobre todos os assuntos nos aspectos </w:t>
      </w:r>
      <w:r>
        <w:rPr>
          <w:rFonts w:ascii="Arial" w:eastAsia="Arial" w:hAnsi="Arial" w:cs="Arial"/>
          <w:sz w:val="28"/>
          <w:szCs w:val="28"/>
        </w:rPr>
        <w:lastRenderedPageBreak/>
        <w:t xml:space="preserve">constitucional, redacional e legal e, quando já aprovados pelo Plenário, analisá-los sob os aspectos lógico e gramatical, de modo a adequar ao bom vernáculo o texto das proposições. § 1º- Salvo expressa disposição em contrário deste Regimento, </w:t>
      </w:r>
      <w:r>
        <w:rPr>
          <w:rFonts w:ascii="Arial" w:eastAsia="Arial" w:hAnsi="Arial" w:cs="Arial"/>
          <w:b/>
          <w:sz w:val="28"/>
          <w:szCs w:val="28"/>
        </w:rPr>
        <w:t xml:space="preserve">é obrigatória a audiência da Comissão de Legislação e Justiça em todos os projetos de lei </w:t>
      </w:r>
      <w:r>
        <w:rPr>
          <w:rFonts w:ascii="Arial" w:eastAsia="Arial" w:hAnsi="Arial" w:cs="Arial"/>
          <w:sz w:val="28"/>
          <w:szCs w:val="28"/>
        </w:rPr>
        <w:t xml:space="preserve">e determinadas matérias que tramitarem pela </w:t>
      </w:r>
      <w:proofErr w:type="gramStart"/>
      <w:r>
        <w:rPr>
          <w:rFonts w:ascii="Arial" w:eastAsia="Arial" w:hAnsi="Arial" w:cs="Arial"/>
          <w:sz w:val="28"/>
          <w:szCs w:val="28"/>
        </w:rPr>
        <w:t>Câmara</w:t>
      </w:r>
      <w:proofErr w:type="gramEnd"/>
    </w:p>
    <w:p w:rsidR="004E667F" w:rsidRDefault="004E667F">
      <w:pPr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4E667F" w:rsidRDefault="004E667F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4E667F" w:rsidRDefault="00307B7F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b) Finanças e Orçamento, por competência específica, eis que a proposição envolve destinação de receita.</w:t>
      </w:r>
    </w:p>
    <w:p w:rsidR="004E667F" w:rsidRDefault="004E667F">
      <w:pPr>
        <w:ind w:left="2160"/>
        <w:jc w:val="both"/>
        <w:rPr>
          <w:rFonts w:ascii="Arial" w:eastAsia="Arial" w:hAnsi="Arial" w:cs="Arial"/>
          <w:sz w:val="28"/>
          <w:szCs w:val="28"/>
        </w:rPr>
      </w:pPr>
    </w:p>
    <w:p w:rsidR="004E667F" w:rsidRDefault="00307B7F">
      <w:pPr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Art. 77- Compete à Comissão de Finanças e Orçamento opinar obrigatoriamente sobre todas as matérias de caráter financeiro, e especialmente quando for o caso de: (...) IV - proposições referentes a matérias tributárias; abertura de créditos; empréstimos públicos e as que, </w:t>
      </w:r>
      <w:r>
        <w:rPr>
          <w:rFonts w:ascii="Arial" w:eastAsia="Arial" w:hAnsi="Arial" w:cs="Arial"/>
          <w:b/>
          <w:sz w:val="28"/>
          <w:szCs w:val="28"/>
        </w:rPr>
        <w:t>direta ou indiretamente, alterem a despesa ou a receita do Município</w:t>
      </w:r>
      <w:r>
        <w:rPr>
          <w:rFonts w:ascii="Arial" w:eastAsia="Arial" w:hAnsi="Arial" w:cs="Arial"/>
          <w:sz w:val="28"/>
          <w:szCs w:val="28"/>
        </w:rPr>
        <w:t>, acarretem responsabilidades ao Erário Municipal ou interessem ao crédito e ao Patrimônio Público Municipal;</w:t>
      </w:r>
    </w:p>
    <w:p w:rsidR="004E667F" w:rsidRDefault="004E667F">
      <w:pPr>
        <w:ind w:left="2160"/>
        <w:jc w:val="both"/>
        <w:rPr>
          <w:rFonts w:ascii="Arial" w:eastAsia="Arial" w:hAnsi="Arial" w:cs="Arial"/>
          <w:sz w:val="28"/>
          <w:szCs w:val="28"/>
        </w:rPr>
      </w:pPr>
    </w:p>
    <w:p w:rsidR="004E667F" w:rsidRDefault="004E667F">
      <w:pPr>
        <w:jc w:val="both"/>
        <w:rPr>
          <w:rFonts w:ascii="Arial" w:eastAsia="Arial" w:hAnsi="Arial" w:cs="Arial"/>
          <w:sz w:val="28"/>
          <w:szCs w:val="28"/>
        </w:rPr>
      </w:pPr>
    </w:p>
    <w:p w:rsidR="004E667F" w:rsidRDefault="00307B7F">
      <w:p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c) Serviços Urbanos, Habitação e Segurança, por competência específica, eis que a proposição envolve execução de serviço público.</w:t>
      </w:r>
    </w:p>
    <w:p w:rsidR="004E667F" w:rsidRDefault="004E667F">
      <w:pPr>
        <w:jc w:val="both"/>
        <w:rPr>
          <w:rFonts w:ascii="Arial" w:eastAsia="Arial" w:hAnsi="Arial" w:cs="Arial"/>
          <w:sz w:val="28"/>
          <w:szCs w:val="28"/>
        </w:rPr>
      </w:pPr>
    </w:p>
    <w:p w:rsidR="004E667F" w:rsidRDefault="00307B7F">
      <w:pPr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Art. 78- Compete à Comissão de Serviços Urbanos, Habitação e Segurança opinar nas matérias referentes a quaisquer obras públicas, empreendimentos, habitação, segurança e </w:t>
      </w:r>
      <w:r>
        <w:rPr>
          <w:rFonts w:ascii="Arial" w:eastAsia="Arial" w:hAnsi="Arial" w:cs="Arial"/>
          <w:b/>
          <w:sz w:val="28"/>
          <w:szCs w:val="28"/>
        </w:rPr>
        <w:t>execução de serviços públicos locais</w:t>
      </w:r>
      <w:r>
        <w:rPr>
          <w:rFonts w:ascii="Arial" w:eastAsia="Arial" w:hAnsi="Arial" w:cs="Arial"/>
          <w:sz w:val="28"/>
          <w:szCs w:val="28"/>
        </w:rPr>
        <w:t xml:space="preserve"> e ligados às atividades produtivas em geral, oficiais ou particulares, sobre trânsito e transporte e comunicação em geral e, especialmente, sobre o Plano de Desenvolvimento do Município e suas alterações.</w:t>
      </w:r>
    </w:p>
    <w:p w:rsidR="004E667F" w:rsidRDefault="004E667F">
      <w:pPr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4E667F" w:rsidRDefault="004E667F">
      <w:pPr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4E667F" w:rsidRDefault="004E667F">
      <w:pPr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4E667F" w:rsidRDefault="004E667F">
      <w:pPr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4E667F" w:rsidRDefault="004E667F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4E667F" w:rsidRDefault="00307B7F" w:rsidP="00B22910">
      <w:pPr>
        <w:spacing w:line="360" w:lineRule="auto"/>
        <w:jc w:val="center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CONSIDERAÇÕES FINAIS</w:t>
      </w:r>
    </w:p>
    <w:p w:rsidR="004E667F" w:rsidRDefault="004E667F">
      <w:pPr>
        <w:rPr>
          <w:rFonts w:ascii="Arial" w:eastAsia="Arial" w:hAnsi="Arial" w:cs="Arial"/>
          <w:sz w:val="28"/>
          <w:szCs w:val="28"/>
        </w:rPr>
      </w:pPr>
    </w:p>
    <w:p w:rsidR="004E667F" w:rsidRDefault="00307B7F">
      <w:pPr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Em conformidade com os fundamentos normativos apresentados acima, encaminhamos o expediente ao prosseguimento opinando pela </w:t>
      </w:r>
      <w:r>
        <w:rPr>
          <w:rFonts w:ascii="Arial" w:eastAsia="Arial" w:hAnsi="Arial" w:cs="Arial"/>
          <w:b/>
          <w:sz w:val="28"/>
          <w:szCs w:val="28"/>
        </w:rPr>
        <w:t>viabilidade da tramitação</w:t>
      </w:r>
      <w:r>
        <w:rPr>
          <w:rFonts w:ascii="Arial" w:eastAsia="Arial" w:hAnsi="Arial" w:cs="Arial"/>
          <w:sz w:val="28"/>
          <w:szCs w:val="28"/>
        </w:rPr>
        <w:t xml:space="preserve">. Assevera-se, </w:t>
      </w:r>
      <w:proofErr w:type="gramStart"/>
      <w:r>
        <w:rPr>
          <w:rFonts w:ascii="Arial" w:eastAsia="Arial" w:hAnsi="Arial" w:cs="Arial"/>
          <w:sz w:val="28"/>
          <w:szCs w:val="28"/>
        </w:rPr>
        <w:t>outrossim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, que o presente parecer tem natureza opinativa e não vincula a decisão das comissões. </w:t>
      </w:r>
      <w:r w:rsidR="00B22910"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ncaminhem-se os autos à DIRETORIA LEGISLATIVA para as devidas diligências.</w:t>
      </w:r>
    </w:p>
    <w:p w:rsidR="004E667F" w:rsidRDefault="004E667F">
      <w:pPr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4E667F" w:rsidRDefault="00307B7F" w:rsidP="00B22910">
      <w:pPr>
        <w:spacing w:line="360" w:lineRule="auto"/>
        <w:ind w:firstLine="708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Parecer exarado em 12 de abril de 2023</w:t>
      </w:r>
    </w:p>
    <w:p w:rsidR="004E667F" w:rsidRDefault="004E667F" w:rsidP="00B22910">
      <w:pPr>
        <w:jc w:val="center"/>
        <w:rPr>
          <w:rFonts w:ascii="Arial" w:eastAsia="Arial" w:hAnsi="Arial" w:cs="Arial"/>
          <w:sz w:val="28"/>
          <w:szCs w:val="28"/>
        </w:rPr>
      </w:pPr>
    </w:p>
    <w:p w:rsidR="004E667F" w:rsidRDefault="004E667F" w:rsidP="00B22910">
      <w:pPr>
        <w:jc w:val="center"/>
        <w:rPr>
          <w:rFonts w:ascii="Arial" w:eastAsia="Arial" w:hAnsi="Arial" w:cs="Arial"/>
          <w:sz w:val="28"/>
          <w:szCs w:val="28"/>
        </w:rPr>
      </w:pPr>
    </w:p>
    <w:p w:rsidR="004E667F" w:rsidRDefault="00307B7F" w:rsidP="00B22910">
      <w:pPr>
        <w:jc w:val="center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João Roberto da Fonseca Junior</w:t>
      </w:r>
    </w:p>
    <w:p w:rsidR="004E667F" w:rsidRDefault="00307B7F" w:rsidP="00B22910">
      <w:pPr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Procurador Chefe</w:t>
      </w:r>
    </w:p>
    <w:p w:rsidR="004E667F" w:rsidRDefault="00307B7F" w:rsidP="00B22910">
      <w:pPr>
        <w:jc w:val="center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OAB/RS 69.257</w:t>
      </w:r>
    </w:p>
    <w:sectPr w:rsidR="004E667F" w:rsidSect="002C4C9A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5D63" w:rsidRDefault="003B5D63">
      <w:r>
        <w:separator/>
      </w:r>
    </w:p>
  </w:endnote>
  <w:endnote w:type="continuationSeparator" w:id="0">
    <w:p w:rsidR="003B5D63" w:rsidRDefault="003B5D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5D63" w:rsidRDefault="003B5D63">
      <w:r>
        <w:separator/>
      </w:r>
    </w:p>
  </w:footnote>
  <w:footnote w:type="continuationSeparator" w:id="0">
    <w:p w:rsidR="003B5D63" w:rsidRDefault="003B5D6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667F" w:rsidRDefault="00307B7F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4E667F" w:rsidRDefault="00307B7F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4E667F" w:rsidRDefault="00307B7F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4E667F" w:rsidRDefault="004E667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A31F4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E667F"/>
    <w:rsid w:val="002C4C9A"/>
    <w:rsid w:val="00307B7F"/>
    <w:rsid w:val="003B5D63"/>
    <w:rsid w:val="004E667F"/>
    <w:rsid w:val="00B229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4C9A"/>
  </w:style>
  <w:style w:type="paragraph" w:styleId="Ttulo1">
    <w:name w:val="heading 1"/>
    <w:basedOn w:val="Normal"/>
    <w:next w:val="Normal"/>
    <w:uiPriority w:val="9"/>
    <w:qFormat/>
    <w:rsid w:val="002C4C9A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2C4C9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2C4C9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2C4C9A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2C4C9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2C4C9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2C4C9A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2C4C9A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rsid w:val="002C4C9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734</Words>
  <Characters>3968</Characters>
  <Application>Microsoft Office Word</Application>
  <DocSecurity>0</DocSecurity>
  <Lines>33</Lines>
  <Paragraphs>9</Paragraphs>
  <ScaleCrop>false</ScaleCrop>
  <Company/>
  <LinksUpToDate>false</LinksUpToDate>
  <CharactersWithSpaces>4693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dcterms:created xsi:type="dcterms:W3CDTF">2023-04-12T16:07:00Z</dcterms:created>
  <dcterms:modified xsi:type="dcterms:W3CDTF">2023-04-12T16:07:00Z</dcterms:modified>
</cp:coreProperties>
</file>