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9BC" w:rsidRDefault="00C9046E">
      <w:pPr>
        <w:spacing w:before="81"/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121323">
        <w:rPr>
          <w:rFonts w:ascii="Arial" w:hAnsi="Arial"/>
          <w:b/>
          <w:spacing w:val="-5"/>
          <w:sz w:val="32"/>
        </w:rPr>
        <w:t>039/2023 – PLE 034/2023</w:t>
      </w:r>
    </w:p>
    <w:p w:rsidR="008E79BC" w:rsidRDefault="00C9046E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pacing w:val="-2"/>
          <w:sz w:val="32"/>
        </w:rPr>
        <w:t>2</w:t>
      </w:r>
      <w:r w:rsidR="00121323">
        <w:rPr>
          <w:rFonts w:ascii="Arial" w:hAnsi="Arial"/>
          <w:b/>
          <w:spacing w:val="-2"/>
          <w:sz w:val="32"/>
        </w:rPr>
        <w:t>5237</w:t>
      </w:r>
    </w:p>
    <w:p w:rsidR="008E79BC" w:rsidRDefault="00C9046E">
      <w:pPr>
        <w:ind w:left="101" w:right="2039"/>
        <w:rPr>
          <w:sz w:val="32"/>
        </w:rPr>
      </w:pPr>
      <w:r>
        <w:rPr>
          <w:rFonts w:ascii="Arial" w:hAnsi="Arial"/>
          <w:b/>
          <w:sz w:val="32"/>
        </w:rPr>
        <w:t>Proponente: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Poder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Executivo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 xml:space="preserve">Municipal Regime de tramitação: </w:t>
      </w:r>
      <w:r>
        <w:rPr>
          <w:sz w:val="32"/>
        </w:rPr>
        <w:t>Urgente</w:t>
      </w:r>
    </w:p>
    <w:p w:rsidR="008E79BC" w:rsidRDefault="00C9046E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5"/>
          <w:sz w:val="32"/>
        </w:rPr>
        <w:t xml:space="preserve"> </w:t>
      </w:r>
      <w:r w:rsidR="00121323">
        <w:rPr>
          <w:spacing w:val="-2"/>
          <w:sz w:val="32"/>
        </w:rPr>
        <w:t>26/06</w:t>
      </w:r>
      <w:r>
        <w:rPr>
          <w:spacing w:val="-2"/>
          <w:sz w:val="32"/>
        </w:rPr>
        <w:t>/2023</w:t>
      </w:r>
    </w:p>
    <w:p w:rsidR="008E79BC" w:rsidRDefault="00C9046E" w:rsidP="00121323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8E79BC" w:rsidRDefault="008E79BC">
      <w:pPr>
        <w:pStyle w:val="Corpodetexto"/>
        <w:spacing w:before="11"/>
        <w:rPr>
          <w:rFonts w:ascii="Arial"/>
          <w:b/>
          <w:sz w:val="27"/>
        </w:rPr>
      </w:pPr>
    </w:p>
    <w:p w:rsidR="008E79BC" w:rsidRDefault="00C9046E">
      <w:pPr>
        <w:ind w:left="101" w:right="106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que </w:t>
      </w:r>
      <w:r w:rsidR="00121323">
        <w:rPr>
          <w:sz w:val="28"/>
        </w:rPr>
        <w:t>“</w:t>
      </w:r>
      <w:r w:rsidR="00121323" w:rsidRPr="00121323">
        <w:rPr>
          <w:b/>
          <w:i/>
          <w:sz w:val="28"/>
        </w:rPr>
        <w:t>ALTERA A LEI Nº. 4.280, DE 30 DE MARÇO DE 2023 QUE INSTITUI O PROGRAMA DE RECUPERAÇÃO FISCAL NO MUNICÍPIO DE SAPUCAIA DO SUL - REFIS MUNICIPAL 2023.”</w:t>
      </w:r>
    </w:p>
    <w:p w:rsidR="00121323" w:rsidRDefault="00121323">
      <w:pPr>
        <w:pStyle w:val="Corpodetexto"/>
        <w:ind w:left="101"/>
      </w:pPr>
    </w:p>
    <w:p w:rsidR="008E79BC" w:rsidRDefault="00C9046E">
      <w:pPr>
        <w:pStyle w:val="Corpodetexto"/>
        <w:ind w:left="101"/>
      </w:pPr>
      <w:r>
        <w:t>Constam</w:t>
      </w:r>
      <w:r>
        <w:rPr>
          <w:spacing w:val="-7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autos</w:t>
      </w:r>
      <w:r>
        <w:rPr>
          <w:spacing w:val="-6"/>
        </w:rPr>
        <w:t xml:space="preserve"> </w:t>
      </w:r>
      <w:r>
        <w:t>eletrônicos</w:t>
      </w:r>
      <w:r>
        <w:rPr>
          <w:spacing w:val="-6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seguintes</w:t>
      </w:r>
      <w:r>
        <w:rPr>
          <w:spacing w:val="-6"/>
        </w:rPr>
        <w:t xml:space="preserve"> </w:t>
      </w:r>
      <w:r>
        <w:rPr>
          <w:spacing w:val="-2"/>
        </w:rPr>
        <w:t>documentos:</w:t>
      </w:r>
    </w:p>
    <w:p w:rsidR="008E79BC" w:rsidRDefault="008E79BC">
      <w:pPr>
        <w:pStyle w:val="Corpodetexto"/>
      </w:pPr>
    </w:p>
    <w:p w:rsidR="008E79BC" w:rsidRDefault="00C9046E">
      <w:pPr>
        <w:pStyle w:val="PargrafodaLista"/>
        <w:numPr>
          <w:ilvl w:val="0"/>
          <w:numId w:val="2"/>
        </w:numPr>
        <w:tabs>
          <w:tab w:val="left" w:pos="820"/>
        </w:tabs>
        <w:ind w:left="8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121323">
        <w:rPr>
          <w:sz w:val="28"/>
        </w:rPr>
        <w:t>59547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 w:rsidR="00121323"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páginas);</w:t>
      </w:r>
    </w:p>
    <w:p w:rsidR="008E79BC" w:rsidRDefault="00C9046E">
      <w:pPr>
        <w:pStyle w:val="PargrafodaLista"/>
        <w:numPr>
          <w:ilvl w:val="0"/>
          <w:numId w:val="2"/>
        </w:numPr>
        <w:tabs>
          <w:tab w:val="left" w:pos="820"/>
        </w:tabs>
        <w:ind w:left="820" w:hanging="359"/>
        <w:rPr>
          <w:sz w:val="28"/>
        </w:rPr>
      </w:pPr>
      <w:r>
        <w:rPr>
          <w:sz w:val="28"/>
        </w:rPr>
        <w:t>ID</w:t>
      </w:r>
      <w:r>
        <w:rPr>
          <w:spacing w:val="-5"/>
          <w:sz w:val="28"/>
        </w:rPr>
        <w:t xml:space="preserve"> </w:t>
      </w:r>
      <w:r>
        <w:rPr>
          <w:sz w:val="28"/>
        </w:rPr>
        <w:t>5</w:t>
      </w:r>
      <w:r w:rsidR="00121323">
        <w:rPr>
          <w:sz w:val="28"/>
        </w:rPr>
        <w:t>9618</w:t>
      </w:r>
      <w:r>
        <w:rPr>
          <w:spacing w:val="-5"/>
          <w:sz w:val="28"/>
        </w:rPr>
        <w:t xml:space="preserve"> </w:t>
      </w:r>
      <w:r>
        <w:rPr>
          <w:sz w:val="28"/>
        </w:rPr>
        <w:t>(página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única).</w:t>
      </w:r>
    </w:p>
    <w:p w:rsidR="008E79BC" w:rsidRDefault="008E79BC">
      <w:pPr>
        <w:pStyle w:val="Corpodetexto"/>
        <w:rPr>
          <w:sz w:val="30"/>
        </w:rPr>
      </w:pPr>
    </w:p>
    <w:p w:rsidR="008E79BC" w:rsidRDefault="008E79BC">
      <w:pPr>
        <w:pStyle w:val="Corpodetexto"/>
        <w:rPr>
          <w:sz w:val="40"/>
        </w:rPr>
      </w:pPr>
    </w:p>
    <w:p w:rsidR="008E79BC" w:rsidRDefault="00C9046E" w:rsidP="00121323">
      <w:pPr>
        <w:pStyle w:val="Heading1"/>
        <w:jc w:val="center"/>
      </w:pPr>
      <w:r>
        <w:rPr>
          <w:spacing w:val="-2"/>
        </w:rPr>
        <w:t>PARECER</w:t>
      </w:r>
    </w:p>
    <w:p w:rsidR="008E79BC" w:rsidRDefault="008E79BC">
      <w:pPr>
        <w:pStyle w:val="Corpodetexto"/>
        <w:rPr>
          <w:rFonts w:ascii="Arial"/>
          <w:b/>
        </w:rPr>
      </w:pPr>
    </w:p>
    <w:p w:rsidR="00121323" w:rsidRDefault="00C9046E">
      <w:pPr>
        <w:pStyle w:val="Corpodetexto"/>
        <w:spacing w:line="360" w:lineRule="auto"/>
        <w:ind w:left="101" w:right="111" w:firstLine="705"/>
        <w:jc w:val="both"/>
      </w:pPr>
      <w:r>
        <w:t>A proposição</w:t>
      </w:r>
      <w:r>
        <w:rPr>
          <w:spacing w:val="-4"/>
        </w:rPr>
        <w:t xml:space="preserve"> </w:t>
      </w:r>
      <w:r>
        <w:t>deve</w:t>
      </w:r>
      <w:r>
        <w:rPr>
          <w:spacing w:val="-4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analisada</w:t>
      </w:r>
      <w:r>
        <w:rPr>
          <w:spacing w:val="-4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ótica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Lei</w:t>
      </w:r>
      <w:r>
        <w:rPr>
          <w:spacing w:val="-4"/>
        </w:rPr>
        <w:t xml:space="preserve"> </w:t>
      </w:r>
      <w:r>
        <w:t>5.172/66,</w:t>
      </w:r>
      <w:r>
        <w:rPr>
          <w:spacing w:val="-4"/>
        </w:rPr>
        <w:t xml:space="preserve"> </w:t>
      </w:r>
      <w:r>
        <w:t>(CTN), que regula a forma de constituição, exclusão e suspensão dos créditos tributários (arts.</w:t>
      </w:r>
      <w:r>
        <w:t xml:space="preserve"> 142 e seguintes).</w:t>
      </w:r>
    </w:p>
    <w:p w:rsidR="00121323" w:rsidRDefault="00121323">
      <w:pPr>
        <w:pStyle w:val="Corpodetexto"/>
        <w:spacing w:line="360" w:lineRule="auto"/>
        <w:ind w:left="101" w:right="111" w:firstLine="705"/>
        <w:jc w:val="both"/>
      </w:pPr>
    </w:p>
    <w:p w:rsidR="00121323" w:rsidRDefault="00121323">
      <w:pPr>
        <w:pStyle w:val="Corpodetexto"/>
        <w:spacing w:line="360" w:lineRule="auto"/>
        <w:ind w:left="101" w:right="111" w:firstLine="705"/>
        <w:jc w:val="both"/>
      </w:pPr>
      <w:r>
        <w:t>Trata-se de prorrogação de prazo da respectiva situação de REFIS.</w:t>
      </w:r>
      <w:r w:rsidR="00C9046E">
        <w:t xml:space="preserve"> </w:t>
      </w:r>
    </w:p>
    <w:p w:rsidR="00121323" w:rsidRDefault="00121323">
      <w:pPr>
        <w:pStyle w:val="Corpodetexto"/>
        <w:spacing w:line="360" w:lineRule="auto"/>
        <w:ind w:left="101" w:right="111" w:firstLine="705"/>
        <w:jc w:val="both"/>
      </w:pPr>
    </w:p>
    <w:p w:rsidR="008E79BC" w:rsidRDefault="00C9046E">
      <w:pPr>
        <w:pStyle w:val="Corpodetexto"/>
        <w:spacing w:line="360" w:lineRule="auto"/>
        <w:ind w:left="101" w:right="111" w:firstLine="705"/>
        <w:jc w:val="both"/>
      </w:pPr>
      <w:r>
        <w:t xml:space="preserve">A figura do parcelamento (art.151, VI, CTN), à primeira vista, se enquadra nas hipóteses de suspensão do crédito tributário, situação em que, evidentemente, enquadram-se os </w:t>
      </w:r>
      <w:r>
        <w:rPr>
          <w:spacing w:val="-2"/>
        </w:rPr>
        <w:t>REFIS.</w:t>
      </w:r>
    </w:p>
    <w:p w:rsidR="008E79BC" w:rsidRDefault="008E79BC">
      <w:pPr>
        <w:pStyle w:val="Corpodetexto"/>
        <w:rPr>
          <w:sz w:val="42"/>
        </w:rPr>
      </w:pPr>
    </w:p>
    <w:p w:rsidR="008E79BC" w:rsidRDefault="00C9046E">
      <w:pPr>
        <w:pStyle w:val="Corpodetexto"/>
        <w:spacing w:line="360" w:lineRule="auto"/>
        <w:ind w:left="101" w:right="106" w:firstLine="705"/>
        <w:jc w:val="both"/>
      </w:pPr>
      <w:r>
        <w:t xml:space="preserve">Além do fracionamento da dívida, o modelo proposto pelo Exmo. Chefe do Poder Executivo a partir do art. 3º da proposição possibilita também a redução de parte do débito, </w:t>
      </w:r>
      <w:r>
        <w:rPr>
          <w:rFonts w:ascii="Arial" w:hAnsi="Arial"/>
          <w:i/>
        </w:rPr>
        <w:t xml:space="preserve">importando em renúncia de receita </w:t>
      </w:r>
      <w:r>
        <w:t xml:space="preserve">(redução gradativa da multa, correção monetária e juros de </w:t>
      </w:r>
      <w:r>
        <w:rPr>
          <w:spacing w:val="-2"/>
        </w:rPr>
        <w:lastRenderedPageBreak/>
        <w:t>mora).</w:t>
      </w:r>
    </w:p>
    <w:p w:rsidR="008E79BC" w:rsidRDefault="00C9046E">
      <w:pPr>
        <w:pStyle w:val="Corpodetexto"/>
        <w:spacing w:before="81" w:line="360" w:lineRule="auto"/>
        <w:ind w:left="101" w:right="106" w:firstLine="705"/>
        <w:jc w:val="both"/>
      </w:pPr>
      <w:r>
        <w:t xml:space="preserve">A respeito da natureza tributária deste tipo de débito, </w:t>
      </w:r>
      <w:r>
        <w:rPr>
          <w:spacing w:val="-2"/>
        </w:rPr>
        <w:t>transcrevemos:</w:t>
      </w:r>
    </w:p>
    <w:p w:rsidR="008E79BC" w:rsidRDefault="008E79BC">
      <w:pPr>
        <w:pStyle w:val="Corpodetexto"/>
        <w:spacing w:before="11"/>
        <w:rPr>
          <w:sz w:val="27"/>
        </w:rPr>
      </w:pPr>
    </w:p>
    <w:p w:rsidR="008E79BC" w:rsidRDefault="00C9046E">
      <w:pPr>
        <w:pStyle w:val="Corpodetexto"/>
        <w:ind w:left="3641" w:right="106" w:firstLine="705"/>
        <w:jc w:val="both"/>
      </w:pPr>
      <w:r>
        <w:t>“Em direito tributário, tanto um crédito quanto os respectivos juros e multas são considerados obrig</w:t>
      </w:r>
      <w:r>
        <w:t>ação tributária principal, pois o enquadramento de uma obrigação tributária como principal depende exclusivamente</w:t>
      </w:r>
      <w:r>
        <w:rPr>
          <w:spacing w:val="-9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seu</w:t>
      </w:r>
      <w:r>
        <w:rPr>
          <w:spacing w:val="-7"/>
        </w:rPr>
        <w:t xml:space="preserve"> </w:t>
      </w:r>
      <w:r>
        <w:t>conteúdo</w:t>
      </w:r>
      <w:r>
        <w:rPr>
          <w:spacing w:val="-6"/>
        </w:rPr>
        <w:t xml:space="preserve"> </w:t>
      </w:r>
      <w:r>
        <w:rPr>
          <w:spacing w:val="-2"/>
        </w:rPr>
        <w:t>pecuniário.</w:t>
      </w:r>
    </w:p>
    <w:p w:rsidR="008E79BC" w:rsidRDefault="008E79BC">
      <w:pPr>
        <w:pStyle w:val="Corpodetexto"/>
      </w:pPr>
    </w:p>
    <w:p w:rsidR="008E79BC" w:rsidRDefault="00C9046E">
      <w:pPr>
        <w:ind w:left="3641" w:right="113" w:firstLine="705"/>
        <w:jc w:val="both"/>
        <w:rPr>
          <w:rFonts w:ascii="Arial" w:hAnsi="Arial"/>
          <w:b/>
          <w:sz w:val="28"/>
        </w:rPr>
      </w:pPr>
      <w:r>
        <w:rPr>
          <w:sz w:val="28"/>
        </w:rPr>
        <w:t>Conforme já se analisou no estudo do conceito</w:t>
      </w:r>
      <w:r>
        <w:rPr>
          <w:spacing w:val="-6"/>
          <w:sz w:val="28"/>
        </w:rPr>
        <w:t xml:space="preserve"> </w:t>
      </w:r>
      <w:r>
        <w:rPr>
          <w:sz w:val="28"/>
        </w:rPr>
        <w:t>de</w:t>
      </w:r>
      <w:r>
        <w:rPr>
          <w:spacing w:val="-6"/>
          <w:sz w:val="28"/>
        </w:rPr>
        <w:t xml:space="preserve"> </w:t>
      </w:r>
      <w:r>
        <w:rPr>
          <w:sz w:val="28"/>
        </w:rPr>
        <w:t>tributo,</w:t>
      </w:r>
      <w:r>
        <w:rPr>
          <w:spacing w:val="-6"/>
          <w:sz w:val="28"/>
        </w:rPr>
        <w:t xml:space="preserve"> </w:t>
      </w:r>
      <w:r>
        <w:rPr>
          <w:sz w:val="28"/>
        </w:rPr>
        <w:t>a</w:t>
      </w:r>
      <w:r>
        <w:rPr>
          <w:spacing w:val="-6"/>
          <w:sz w:val="28"/>
        </w:rPr>
        <w:t xml:space="preserve"> </w:t>
      </w:r>
      <w:r>
        <w:rPr>
          <w:sz w:val="28"/>
        </w:rPr>
        <w:t>multa</w:t>
      </w:r>
      <w:r>
        <w:rPr>
          <w:spacing w:val="-6"/>
          <w:sz w:val="28"/>
        </w:rPr>
        <w:t xml:space="preserve"> </w:t>
      </w:r>
      <w:r>
        <w:rPr>
          <w:sz w:val="28"/>
        </w:rPr>
        <w:t>é,</w:t>
      </w:r>
      <w:r>
        <w:rPr>
          <w:spacing w:val="-6"/>
          <w:sz w:val="28"/>
        </w:rPr>
        <w:t xml:space="preserve"> </w:t>
      </w:r>
      <w:r>
        <w:rPr>
          <w:sz w:val="28"/>
        </w:rPr>
        <w:t>exatamente,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o que o tributo, por definição legal, está impedido de ser: a sanção por ato ilícito. </w:t>
      </w:r>
      <w:r>
        <w:rPr>
          <w:rFonts w:ascii="Arial" w:hAnsi="Arial"/>
          <w:b/>
          <w:sz w:val="28"/>
        </w:rPr>
        <w:t>Entretanto, a obrigação de pagar a multa tributária foi tratada pelo CTN como obrigação tributária principal.</w:t>
      </w:r>
    </w:p>
    <w:p w:rsidR="008E79BC" w:rsidRDefault="008E79BC">
      <w:pPr>
        <w:pStyle w:val="Corpodetexto"/>
        <w:rPr>
          <w:rFonts w:ascii="Arial"/>
          <w:b/>
        </w:rPr>
      </w:pPr>
    </w:p>
    <w:p w:rsidR="008E79BC" w:rsidRDefault="00C9046E">
      <w:pPr>
        <w:pStyle w:val="Heading2"/>
        <w:ind w:left="3641" w:right="108" w:firstLine="705"/>
        <w:jc w:val="both"/>
      </w:pPr>
      <w:r>
        <w:rPr>
          <w:rFonts w:ascii="Arial MT" w:hAnsi="Arial MT"/>
          <w:b w:val="0"/>
        </w:rPr>
        <w:t xml:space="preserve">Vale dizer: </w:t>
      </w:r>
      <w:r>
        <w:t>multa não é tributo, mas a obrigação de pagá-la</w:t>
      </w:r>
      <w:r>
        <w:t xml:space="preserve"> tem natureza </w:t>
      </w:r>
      <w:r>
        <w:rPr>
          <w:spacing w:val="-2"/>
        </w:rPr>
        <w:t>tributária”.</w:t>
      </w:r>
    </w:p>
    <w:p w:rsidR="008E79BC" w:rsidRDefault="008E79BC">
      <w:pPr>
        <w:pStyle w:val="Corpodetexto"/>
        <w:rPr>
          <w:rFonts w:ascii="Arial"/>
          <w:b/>
        </w:rPr>
      </w:pPr>
    </w:p>
    <w:p w:rsidR="008E79BC" w:rsidRDefault="00C9046E">
      <w:pPr>
        <w:pStyle w:val="Corpodetexto"/>
        <w:ind w:left="3641" w:right="105"/>
        <w:jc w:val="both"/>
        <w:rPr>
          <w:rFonts w:ascii="Arial" w:hAnsi="Arial"/>
          <w:b/>
        </w:rPr>
      </w:pPr>
      <w:r>
        <w:t>(In: ALEXANDRE,</w:t>
      </w:r>
      <w:r>
        <w:rPr>
          <w:spacing w:val="-11"/>
        </w:rPr>
        <w:t xml:space="preserve"> </w:t>
      </w:r>
      <w:r>
        <w:t>Ricardo.</w:t>
      </w:r>
      <w:r>
        <w:rPr>
          <w:spacing w:val="-11"/>
        </w:rPr>
        <w:t xml:space="preserve"> </w:t>
      </w:r>
      <w:r>
        <w:t>Direito</w:t>
      </w:r>
      <w:r>
        <w:rPr>
          <w:spacing w:val="-11"/>
        </w:rPr>
        <w:t xml:space="preserve"> </w:t>
      </w:r>
      <w:r>
        <w:t xml:space="preserve">Tributário Esquematizado. 9 ed. rev. atual. e ampl. – Rio de Janeiro. Forense. São Paulo: MÉTODO, 2015). P.272. </w:t>
      </w:r>
      <w:r>
        <w:rPr>
          <w:rFonts w:ascii="Arial" w:hAnsi="Arial"/>
          <w:b/>
        </w:rPr>
        <w:t>Grifo nosso.</w:t>
      </w:r>
    </w:p>
    <w:p w:rsidR="008E79BC" w:rsidRDefault="008E79BC">
      <w:pPr>
        <w:pStyle w:val="Corpodetexto"/>
        <w:rPr>
          <w:rFonts w:ascii="Arial"/>
          <w:b/>
          <w:sz w:val="30"/>
        </w:rPr>
      </w:pPr>
    </w:p>
    <w:p w:rsidR="008E79BC" w:rsidRDefault="008E79BC">
      <w:pPr>
        <w:pStyle w:val="Corpodetexto"/>
        <w:rPr>
          <w:rFonts w:ascii="Arial"/>
          <w:b/>
          <w:sz w:val="30"/>
        </w:rPr>
      </w:pPr>
    </w:p>
    <w:p w:rsidR="008E79BC" w:rsidRDefault="00C9046E">
      <w:pPr>
        <w:pStyle w:val="Corpodetexto"/>
        <w:spacing w:line="360" w:lineRule="auto"/>
        <w:ind w:left="101" w:right="113" w:firstLine="705"/>
        <w:jc w:val="both"/>
      </w:pPr>
      <w:r>
        <w:t>Tendo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vista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natureza</w:t>
      </w:r>
      <w:r>
        <w:rPr>
          <w:spacing w:val="-7"/>
        </w:rPr>
        <w:t xml:space="preserve"> </w:t>
      </w:r>
      <w:r>
        <w:t>tributária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proposição,</w:t>
      </w:r>
      <w:r>
        <w:rPr>
          <w:spacing w:val="-7"/>
        </w:rPr>
        <w:t xml:space="preserve"> </w:t>
      </w:r>
      <w:r>
        <w:t>temos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esta deve ser analisada à luz do 14 da Lei de Responsabilidade Fiscal, seus incisos e parágrafos:</w:t>
      </w:r>
    </w:p>
    <w:p w:rsidR="008E79BC" w:rsidRDefault="00C9046E">
      <w:pPr>
        <w:pStyle w:val="Corpodetexto"/>
        <w:ind w:left="3641" w:right="105"/>
        <w:jc w:val="both"/>
      </w:pPr>
      <w:r>
        <w:t xml:space="preserve">Art. 14. A concessão ou ampliação de incentivo ou benefício de natureza tributária da qual decorra renúncia de receita deverá estar acompanhada de </w:t>
      </w:r>
      <w:r>
        <w:rPr>
          <w:rFonts w:ascii="Arial" w:hAnsi="Arial"/>
          <w:b/>
        </w:rPr>
        <w:t xml:space="preserve">estimativa </w:t>
      </w:r>
      <w:r>
        <w:rPr>
          <w:rFonts w:ascii="Arial" w:hAnsi="Arial"/>
          <w:b/>
        </w:rPr>
        <w:t xml:space="preserve">do impacto orçamentário financeiro </w:t>
      </w:r>
      <w:r>
        <w:t>no exercício em que</w:t>
      </w:r>
      <w:r>
        <w:rPr>
          <w:spacing w:val="-5"/>
        </w:rPr>
        <w:t xml:space="preserve"> </w:t>
      </w:r>
      <w:r>
        <w:t>deva</w:t>
      </w:r>
      <w:r>
        <w:rPr>
          <w:spacing w:val="-5"/>
        </w:rPr>
        <w:t xml:space="preserve"> </w:t>
      </w:r>
      <w:r>
        <w:t>iniciar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vigência</w:t>
      </w:r>
      <w:r>
        <w:rPr>
          <w:spacing w:val="-5"/>
        </w:rPr>
        <w:t xml:space="preserve"> </w:t>
      </w:r>
      <w:r>
        <w:t>e nos</w:t>
      </w:r>
      <w:r>
        <w:rPr>
          <w:spacing w:val="38"/>
        </w:rPr>
        <w:t xml:space="preserve"> </w:t>
      </w:r>
      <w:r>
        <w:t>dois</w:t>
      </w:r>
      <w:r>
        <w:rPr>
          <w:spacing w:val="39"/>
        </w:rPr>
        <w:t xml:space="preserve"> </w:t>
      </w:r>
      <w:r>
        <w:t>seguintes,</w:t>
      </w:r>
      <w:r>
        <w:rPr>
          <w:spacing w:val="25"/>
        </w:rPr>
        <w:t xml:space="preserve"> </w:t>
      </w:r>
      <w:r>
        <w:t>atender</w:t>
      </w:r>
      <w:r>
        <w:rPr>
          <w:spacing w:val="24"/>
        </w:rPr>
        <w:t xml:space="preserve"> </w:t>
      </w:r>
      <w:r>
        <w:t>ao</w:t>
      </w:r>
      <w:r>
        <w:rPr>
          <w:spacing w:val="25"/>
        </w:rPr>
        <w:t xml:space="preserve"> </w:t>
      </w:r>
      <w:r>
        <w:t>disposto</w:t>
      </w:r>
      <w:r>
        <w:rPr>
          <w:spacing w:val="25"/>
        </w:rPr>
        <w:t xml:space="preserve"> </w:t>
      </w:r>
      <w:r>
        <w:rPr>
          <w:spacing w:val="-7"/>
        </w:rPr>
        <w:t>na</w:t>
      </w:r>
    </w:p>
    <w:p w:rsidR="008E79BC" w:rsidRDefault="008E79BC">
      <w:pPr>
        <w:jc w:val="both"/>
        <w:sectPr w:rsidR="008E79BC">
          <w:headerReference w:type="default" r:id="rId7"/>
          <w:pgSz w:w="11920" w:h="16840"/>
          <w:pgMar w:top="1900" w:right="1040" w:bottom="280" w:left="1600" w:header="332" w:footer="0" w:gutter="0"/>
          <w:cols w:space="720"/>
        </w:sectPr>
      </w:pPr>
    </w:p>
    <w:p w:rsidR="008E79BC" w:rsidRDefault="00C9046E">
      <w:pPr>
        <w:spacing w:before="81"/>
        <w:ind w:left="3641" w:right="109"/>
        <w:jc w:val="both"/>
        <w:rPr>
          <w:sz w:val="28"/>
        </w:rPr>
      </w:pPr>
      <w:r>
        <w:rPr>
          <w:sz w:val="28"/>
        </w:rPr>
        <w:lastRenderedPageBreak/>
        <w:t xml:space="preserve">lei de diretrizes orçamentárias e </w:t>
      </w:r>
      <w:r>
        <w:rPr>
          <w:rFonts w:ascii="Arial" w:hAnsi="Arial"/>
          <w:b/>
          <w:sz w:val="28"/>
        </w:rPr>
        <w:t xml:space="preserve">a pelo menos uma </w:t>
      </w:r>
      <w:r>
        <w:rPr>
          <w:sz w:val="28"/>
        </w:rPr>
        <w:t>das seguintes condições:</w:t>
      </w:r>
    </w:p>
    <w:p w:rsidR="008E79BC" w:rsidRDefault="008E79BC">
      <w:pPr>
        <w:pStyle w:val="Corpodetexto"/>
        <w:spacing w:before="11"/>
        <w:rPr>
          <w:sz w:val="27"/>
        </w:rPr>
      </w:pPr>
    </w:p>
    <w:p w:rsidR="008E79BC" w:rsidRDefault="00C9046E">
      <w:pPr>
        <w:pStyle w:val="Corpodetexto"/>
        <w:ind w:left="3641" w:right="107"/>
        <w:jc w:val="both"/>
      </w:pPr>
      <w:r>
        <w:t xml:space="preserve">I- demonstração pelo proponente de </w:t>
      </w:r>
      <w:r>
        <w:t>que a renúncia foi considerada na estimativa de receita da lei orçamentária, na forma do</w:t>
      </w:r>
      <w:r>
        <w:rPr>
          <w:spacing w:val="-4"/>
        </w:rPr>
        <w:t xml:space="preserve"> </w:t>
      </w:r>
      <w:r>
        <w:t>art. 12, e de que não afetará as metas de resultados</w:t>
      </w:r>
      <w:r>
        <w:rPr>
          <w:spacing w:val="-7"/>
        </w:rPr>
        <w:t xml:space="preserve"> </w:t>
      </w:r>
      <w:r>
        <w:t>fiscais</w:t>
      </w:r>
      <w:r>
        <w:rPr>
          <w:spacing w:val="-7"/>
        </w:rPr>
        <w:t xml:space="preserve"> </w:t>
      </w:r>
      <w:r>
        <w:t>previstas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anexo</w:t>
      </w:r>
      <w:r>
        <w:rPr>
          <w:spacing w:val="-7"/>
        </w:rPr>
        <w:t xml:space="preserve"> </w:t>
      </w:r>
      <w:r>
        <w:t>próprio da lei de diretrizes orçamentárias;</w:t>
      </w:r>
    </w:p>
    <w:p w:rsidR="008E79BC" w:rsidRDefault="008E79BC">
      <w:pPr>
        <w:pStyle w:val="Corpodetexto"/>
      </w:pPr>
    </w:p>
    <w:p w:rsidR="008E79BC" w:rsidRDefault="00C9046E">
      <w:pPr>
        <w:pStyle w:val="Corpodetexto"/>
        <w:ind w:left="3641" w:right="107"/>
        <w:jc w:val="both"/>
      </w:pPr>
      <w:r>
        <w:t>II estar acompanhada de medidas de compens</w:t>
      </w:r>
      <w:r>
        <w:t>ação, no período mencionado no caput, por meio do aumento de receita, proveniente da elevação de alíquotas, ampliação da base de cálculo, majoração</w:t>
      </w:r>
      <w:r>
        <w:rPr>
          <w:spacing w:val="40"/>
        </w:rPr>
        <w:t xml:space="preserve"> </w:t>
      </w:r>
      <w:r>
        <w:t>ou criação de tributo ou contribuição.</w:t>
      </w:r>
    </w:p>
    <w:p w:rsidR="008E79BC" w:rsidRDefault="008E79BC">
      <w:pPr>
        <w:pStyle w:val="Corpodetexto"/>
      </w:pPr>
    </w:p>
    <w:p w:rsidR="008E79BC" w:rsidRDefault="00C9046E">
      <w:pPr>
        <w:pStyle w:val="Corpodetexto"/>
        <w:ind w:left="3641" w:right="111"/>
        <w:jc w:val="both"/>
      </w:pPr>
      <w:r>
        <w:t>§ 1o A renúncia compreende anistia, remissão, subsídio, crédito presumido, concessão de</w:t>
      </w:r>
      <w:r>
        <w:rPr>
          <w:spacing w:val="-7"/>
        </w:rPr>
        <w:t xml:space="preserve"> </w:t>
      </w:r>
      <w:r>
        <w:t>isenção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caráter</w:t>
      </w:r>
      <w:r>
        <w:rPr>
          <w:spacing w:val="-7"/>
        </w:rPr>
        <w:t xml:space="preserve"> </w:t>
      </w:r>
      <w:r>
        <w:t>não</w:t>
      </w:r>
      <w:r>
        <w:rPr>
          <w:spacing w:val="-7"/>
        </w:rPr>
        <w:t xml:space="preserve"> </w:t>
      </w:r>
      <w:r>
        <w:t>geral, alteração de alíquota ou modificação de base de cálculo que implique redução discriminada de tributos ou contribuições, e outros benefício</w:t>
      </w:r>
      <w:r>
        <w:t>s que correspondam a tratamento diferenciado.</w:t>
      </w:r>
    </w:p>
    <w:p w:rsidR="008E79BC" w:rsidRDefault="008E79BC">
      <w:pPr>
        <w:pStyle w:val="Corpodetexto"/>
        <w:rPr>
          <w:sz w:val="30"/>
        </w:rPr>
      </w:pPr>
    </w:p>
    <w:p w:rsidR="008E79BC" w:rsidRDefault="008E79BC">
      <w:pPr>
        <w:pStyle w:val="Corpodetexto"/>
        <w:rPr>
          <w:sz w:val="26"/>
        </w:rPr>
      </w:pPr>
    </w:p>
    <w:p w:rsidR="008E79BC" w:rsidRDefault="00C9046E">
      <w:pPr>
        <w:pStyle w:val="Corpodetexto"/>
        <w:spacing w:line="360" w:lineRule="auto"/>
        <w:ind w:left="101" w:right="109" w:firstLine="720"/>
        <w:jc w:val="both"/>
      </w:pPr>
      <w:r>
        <w:t>Por fim, anotamos que a deliberação pelo plenário da nobre Casa Legislativa deve ser precedida da manifestação das seguintes comissões permanentes:</w:t>
      </w:r>
    </w:p>
    <w:p w:rsidR="008E79BC" w:rsidRDefault="008E79BC">
      <w:pPr>
        <w:pStyle w:val="Corpodetexto"/>
      </w:pPr>
    </w:p>
    <w:p w:rsidR="008E79BC" w:rsidRDefault="00C9046E">
      <w:pPr>
        <w:pStyle w:val="PargrafodaLista"/>
        <w:numPr>
          <w:ilvl w:val="0"/>
          <w:numId w:val="1"/>
        </w:numPr>
        <w:tabs>
          <w:tab w:val="left" w:pos="820"/>
        </w:tabs>
        <w:ind w:right="113" w:firstLine="0"/>
        <w:rPr>
          <w:sz w:val="28"/>
        </w:rPr>
      </w:pPr>
      <w:r w:rsidRPr="006E7780">
        <w:rPr>
          <w:b/>
          <w:sz w:val="28"/>
        </w:rPr>
        <w:t>LEGISLAÇÃO</w:t>
      </w:r>
      <w:r w:rsidRPr="006E7780">
        <w:rPr>
          <w:b/>
          <w:spacing w:val="80"/>
          <w:sz w:val="28"/>
        </w:rPr>
        <w:t xml:space="preserve"> </w:t>
      </w:r>
      <w:r w:rsidRPr="006E7780">
        <w:rPr>
          <w:b/>
          <w:sz w:val="28"/>
        </w:rPr>
        <w:t>E</w:t>
      </w:r>
      <w:r w:rsidRPr="006E7780">
        <w:rPr>
          <w:b/>
          <w:spacing w:val="80"/>
          <w:sz w:val="28"/>
        </w:rPr>
        <w:t xml:space="preserve"> </w:t>
      </w:r>
      <w:r w:rsidRPr="006E7780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por</w:t>
      </w:r>
      <w:r>
        <w:rPr>
          <w:spacing w:val="80"/>
          <w:sz w:val="28"/>
        </w:rPr>
        <w:t xml:space="preserve"> </w:t>
      </w:r>
      <w:r>
        <w:rPr>
          <w:sz w:val="28"/>
        </w:rPr>
        <w:t>ser</w:t>
      </w:r>
      <w:r>
        <w:rPr>
          <w:spacing w:val="80"/>
          <w:sz w:val="28"/>
        </w:rPr>
        <w:t xml:space="preserve"> </w:t>
      </w:r>
      <w:r>
        <w:rPr>
          <w:sz w:val="28"/>
        </w:rPr>
        <w:t>condição</w:t>
      </w:r>
      <w:r>
        <w:rPr>
          <w:spacing w:val="40"/>
          <w:sz w:val="28"/>
        </w:rPr>
        <w:t xml:space="preserve"> </w:t>
      </w:r>
      <w:r>
        <w:rPr>
          <w:sz w:val="28"/>
        </w:rPr>
        <w:t>de</w:t>
      </w:r>
      <w:r>
        <w:rPr>
          <w:spacing w:val="4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do processo legislativo </w:t>
      </w:r>
      <w:r>
        <w:rPr>
          <w:sz w:val="28"/>
        </w:rPr>
        <w:t>para todas as proposições em geral:</w:t>
      </w:r>
    </w:p>
    <w:p w:rsidR="008E79BC" w:rsidRDefault="008E79BC">
      <w:pPr>
        <w:rPr>
          <w:sz w:val="28"/>
        </w:rPr>
        <w:sectPr w:rsidR="008E79BC">
          <w:pgSz w:w="11920" w:h="16840"/>
          <w:pgMar w:top="1900" w:right="1040" w:bottom="280" w:left="1600" w:header="332" w:footer="0" w:gutter="0"/>
          <w:cols w:space="720"/>
        </w:sectPr>
      </w:pPr>
    </w:p>
    <w:p w:rsidR="008E79BC" w:rsidRDefault="008E79BC">
      <w:pPr>
        <w:pStyle w:val="Corpodetexto"/>
        <w:spacing w:before="1"/>
        <w:rPr>
          <w:sz w:val="27"/>
        </w:rPr>
      </w:pPr>
    </w:p>
    <w:p w:rsidR="008E79BC" w:rsidRDefault="00C9046E">
      <w:pPr>
        <w:pStyle w:val="Corpodetexto"/>
        <w:spacing w:before="91"/>
        <w:ind w:left="3641" w:right="107"/>
        <w:jc w:val="both"/>
      </w:pPr>
      <w:r>
        <w:t>Art. 76- Compete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Comissão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Legislação e Justiça manifestar-se sobre todos os assuntos nos aspectos constitucional, redacional e legal e, quando já aprovados pelo Plenário, analisá-los sob os aspect</w:t>
      </w:r>
      <w:r>
        <w:t>os lógico e gramatical, de modo a adequar ao bom vernáculo o texto das proposições.</w:t>
      </w:r>
    </w:p>
    <w:p w:rsidR="008E79BC" w:rsidRDefault="00C9046E">
      <w:pPr>
        <w:pStyle w:val="Corpodetexto"/>
        <w:ind w:left="3641" w:right="110"/>
        <w:jc w:val="both"/>
      </w:pPr>
      <w:r>
        <w:t>§ 1º- Salvo expressa disposição em contrário deste Regimento, é obrigatória a audiência da Comissão de Legislação e Justiça em todos os projetos de lei e determinadas matér</w:t>
      </w:r>
      <w:r>
        <w:t xml:space="preserve">ias que tramitarem pela </w:t>
      </w:r>
      <w:r>
        <w:rPr>
          <w:spacing w:val="-2"/>
        </w:rPr>
        <w:t>Câmara.</w:t>
      </w:r>
    </w:p>
    <w:p w:rsidR="008E79BC" w:rsidRDefault="008E79BC">
      <w:pPr>
        <w:pStyle w:val="Corpodetexto"/>
        <w:rPr>
          <w:sz w:val="30"/>
        </w:rPr>
      </w:pPr>
    </w:p>
    <w:p w:rsidR="008E79BC" w:rsidRDefault="008E79BC">
      <w:pPr>
        <w:pStyle w:val="Corpodetexto"/>
        <w:rPr>
          <w:sz w:val="26"/>
        </w:rPr>
      </w:pPr>
    </w:p>
    <w:p w:rsidR="008E79BC" w:rsidRDefault="00C9046E">
      <w:pPr>
        <w:pStyle w:val="PargrafodaLista"/>
        <w:numPr>
          <w:ilvl w:val="0"/>
          <w:numId w:val="1"/>
        </w:numPr>
        <w:tabs>
          <w:tab w:val="left" w:pos="820"/>
        </w:tabs>
        <w:ind w:right="115" w:firstLine="0"/>
        <w:rPr>
          <w:sz w:val="28"/>
        </w:rPr>
      </w:pPr>
      <w:r w:rsidRPr="006E7780">
        <w:rPr>
          <w:b/>
          <w:sz w:val="28"/>
        </w:rPr>
        <w:t>FINANÇAS E ORÇAMENTO</w:t>
      </w:r>
      <w:r>
        <w:rPr>
          <w:sz w:val="28"/>
        </w:rPr>
        <w:t>, por competência específica, eis que a proposição envolve matéria tributária.</w:t>
      </w:r>
    </w:p>
    <w:p w:rsidR="008E79BC" w:rsidRDefault="008E79BC">
      <w:pPr>
        <w:pStyle w:val="Corpodetexto"/>
        <w:rPr>
          <w:sz w:val="30"/>
        </w:rPr>
      </w:pPr>
    </w:p>
    <w:p w:rsidR="008E79BC" w:rsidRDefault="008E79BC">
      <w:pPr>
        <w:pStyle w:val="Corpodetexto"/>
        <w:rPr>
          <w:sz w:val="26"/>
        </w:rPr>
      </w:pPr>
    </w:p>
    <w:p w:rsidR="008E79BC" w:rsidRDefault="00C9046E">
      <w:pPr>
        <w:ind w:left="3641" w:right="111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77-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Compete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à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Comissão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Finanças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e Orçamento opinar obrigatoriamente sobre todas as matérias de caráter financeiro, e especialmente quando for o caso de:</w:t>
      </w:r>
    </w:p>
    <w:p w:rsidR="008E79BC" w:rsidRDefault="00C9046E">
      <w:pPr>
        <w:ind w:left="3627" w:right="5203"/>
        <w:jc w:val="center"/>
        <w:rPr>
          <w:rFonts w:ascii="Arial"/>
          <w:i/>
          <w:sz w:val="28"/>
        </w:rPr>
      </w:pPr>
      <w:r>
        <w:rPr>
          <w:rFonts w:ascii="Arial"/>
          <w:i/>
          <w:spacing w:val="-2"/>
          <w:sz w:val="28"/>
        </w:rPr>
        <w:t>(...)</w:t>
      </w:r>
    </w:p>
    <w:p w:rsidR="008E79BC" w:rsidRDefault="00C9046E">
      <w:pPr>
        <w:ind w:left="3641" w:right="111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IV - proposições referentes a matérias tributárias; abertura de créditos; empréstimos públicos e as que, direta ou indiretamente,</w:t>
      </w:r>
      <w:r>
        <w:rPr>
          <w:rFonts w:ascii="Arial" w:hAnsi="Arial"/>
          <w:i/>
          <w:sz w:val="28"/>
        </w:rPr>
        <w:t xml:space="preserve"> alterem a despesa ou a receita do Município, acarretem responsabilidades ao Erário Municipal ou interessem ao crédito e ao Patrimônio Público Municipal;</w:t>
      </w:r>
    </w:p>
    <w:p w:rsidR="008E79BC" w:rsidRDefault="008E79BC">
      <w:pPr>
        <w:pStyle w:val="Corpodetexto"/>
        <w:rPr>
          <w:rFonts w:ascii="Arial"/>
          <w:i/>
          <w:sz w:val="30"/>
        </w:rPr>
      </w:pPr>
    </w:p>
    <w:p w:rsidR="008E79BC" w:rsidRDefault="00C9046E" w:rsidP="00121323">
      <w:pPr>
        <w:pStyle w:val="Heading1"/>
        <w:spacing w:before="194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8E79BC" w:rsidRDefault="008E79BC" w:rsidP="00121323">
      <w:pPr>
        <w:pStyle w:val="Corpodetexto"/>
        <w:spacing w:before="10"/>
        <w:jc w:val="center"/>
        <w:rPr>
          <w:rFonts w:ascii="Arial"/>
          <w:b/>
          <w:sz w:val="34"/>
        </w:rPr>
      </w:pPr>
    </w:p>
    <w:p w:rsidR="00121323" w:rsidRDefault="00C9046E">
      <w:pPr>
        <w:spacing w:line="360" w:lineRule="auto"/>
        <w:ind w:left="101" w:right="109" w:firstLine="705"/>
        <w:jc w:val="both"/>
        <w:rPr>
          <w:spacing w:val="40"/>
          <w:sz w:val="28"/>
        </w:rPr>
      </w:pPr>
      <w:r>
        <w:rPr>
          <w:sz w:val="28"/>
        </w:rPr>
        <w:t>Em conformidade com os fundamentos normativos e doutrinários apresentados acim</w:t>
      </w:r>
      <w:r>
        <w:rPr>
          <w:sz w:val="28"/>
        </w:rPr>
        <w:t xml:space="preserve">a, encaminhamos o expediente ao prosseguimento, </w:t>
      </w:r>
      <w:r>
        <w:rPr>
          <w:rFonts w:ascii="Arial" w:hAnsi="Arial"/>
          <w:b/>
          <w:sz w:val="28"/>
        </w:rPr>
        <w:t>opinando</w:t>
      </w:r>
      <w:r>
        <w:rPr>
          <w:rFonts w:ascii="Arial" w:hAnsi="Arial"/>
          <w:b/>
          <w:spacing w:val="40"/>
          <w:sz w:val="28"/>
        </w:rPr>
        <w:t xml:space="preserve">  </w:t>
      </w:r>
      <w:r>
        <w:rPr>
          <w:rFonts w:ascii="Arial" w:hAnsi="Arial"/>
          <w:b/>
          <w:sz w:val="28"/>
        </w:rPr>
        <w:t>pela</w:t>
      </w:r>
      <w:r>
        <w:rPr>
          <w:rFonts w:ascii="Arial" w:hAnsi="Arial"/>
          <w:b/>
          <w:spacing w:val="40"/>
          <w:sz w:val="28"/>
        </w:rPr>
        <w:t xml:space="preserve">  </w:t>
      </w:r>
      <w:r>
        <w:rPr>
          <w:rFonts w:ascii="Arial" w:hAnsi="Arial"/>
          <w:b/>
          <w:sz w:val="28"/>
        </w:rPr>
        <w:t>viabilidade</w:t>
      </w:r>
      <w:r>
        <w:rPr>
          <w:rFonts w:ascii="Arial" w:hAnsi="Arial"/>
          <w:b/>
          <w:spacing w:val="40"/>
          <w:sz w:val="28"/>
        </w:rPr>
        <w:t xml:space="preserve"> 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40"/>
          <w:sz w:val="28"/>
        </w:rPr>
        <w:t xml:space="preserve">  </w:t>
      </w:r>
      <w:r>
        <w:rPr>
          <w:rFonts w:ascii="Arial" w:hAnsi="Arial"/>
          <w:b/>
          <w:sz w:val="28"/>
        </w:rPr>
        <w:t>tramitação</w:t>
      </w:r>
      <w:r>
        <w:rPr>
          <w:sz w:val="28"/>
        </w:rPr>
        <w:t>.</w:t>
      </w:r>
      <w:r>
        <w:rPr>
          <w:spacing w:val="40"/>
          <w:sz w:val="28"/>
        </w:rPr>
        <w:t xml:space="preserve">  </w:t>
      </w:r>
    </w:p>
    <w:p w:rsidR="00121323" w:rsidRDefault="00121323">
      <w:pPr>
        <w:spacing w:line="360" w:lineRule="auto"/>
        <w:ind w:left="101" w:right="109" w:firstLine="705"/>
        <w:jc w:val="both"/>
        <w:rPr>
          <w:spacing w:val="40"/>
          <w:sz w:val="28"/>
        </w:rPr>
      </w:pPr>
    </w:p>
    <w:p w:rsidR="00121323" w:rsidRDefault="00C9046E" w:rsidP="00121323">
      <w:pPr>
        <w:spacing w:line="360" w:lineRule="auto"/>
        <w:ind w:left="101" w:right="109" w:firstLine="705"/>
        <w:jc w:val="both"/>
        <w:rPr>
          <w:sz w:val="28"/>
          <w:szCs w:val="28"/>
        </w:rPr>
      </w:pPr>
      <w:r w:rsidRPr="00121323">
        <w:rPr>
          <w:sz w:val="28"/>
          <w:szCs w:val="28"/>
        </w:rPr>
        <w:t>Como</w:t>
      </w:r>
      <w:r w:rsidRPr="00121323">
        <w:rPr>
          <w:spacing w:val="40"/>
          <w:sz w:val="28"/>
          <w:szCs w:val="28"/>
        </w:rPr>
        <w:t xml:space="preserve">  </w:t>
      </w:r>
      <w:r w:rsidRPr="00121323">
        <w:rPr>
          <w:sz w:val="28"/>
          <w:szCs w:val="28"/>
        </w:rPr>
        <w:t>de</w:t>
      </w:r>
      <w:r w:rsidRPr="00121323">
        <w:rPr>
          <w:spacing w:val="40"/>
          <w:sz w:val="28"/>
          <w:szCs w:val="28"/>
        </w:rPr>
        <w:t xml:space="preserve">  </w:t>
      </w:r>
      <w:r w:rsidRPr="00121323">
        <w:rPr>
          <w:sz w:val="28"/>
          <w:szCs w:val="28"/>
        </w:rPr>
        <w:t>costume,</w:t>
      </w:r>
      <w:r w:rsidR="00121323" w:rsidRPr="00121323">
        <w:rPr>
          <w:sz w:val="28"/>
          <w:szCs w:val="28"/>
        </w:rPr>
        <w:t xml:space="preserve"> r</w:t>
      </w:r>
      <w:r w:rsidRPr="00121323">
        <w:rPr>
          <w:sz w:val="28"/>
          <w:szCs w:val="28"/>
        </w:rPr>
        <w:t xml:space="preserve">egistra-se que o presente parecer tem </w:t>
      </w:r>
      <w:r w:rsidRPr="00121323">
        <w:rPr>
          <w:sz w:val="28"/>
          <w:szCs w:val="28"/>
        </w:rPr>
        <w:lastRenderedPageBreak/>
        <w:t>natureza opinativa e não</w:t>
      </w:r>
      <w:r w:rsidRPr="00121323">
        <w:rPr>
          <w:spacing w:val="-4"/>
          <w:sz w:val="28"/>
          <w:szCs w:val="28"/>
        </w:rPr>
        <w:t xml:space="preserve"> </w:t>
      </w:r>
      <w:r w:rsidRPr="00121323">
        <w:rPr>
          <w:sz w:val="28"/>
          <w:szCs w:val="28"/>
        </w:rPr>
        <w:t xml:space="preserve">vincula a decisão das comissões técnicas da edilidade. </w:t>
      </w:r>
    </w:p>
    <w:p w:rsidR="00121323" w:rsidRDefault="00121323" w:rsidP="00121323">
      <w:pPr>
        <w:spacing w:line="360" w:lineRule="auto"/>
        <w:ind w:left="101" w:right="109" w:firstLine="705"/>
        <w:jc w:val="both"/>
        <w:rPr>
          <w:sz w:val="28"/>
          <w:szCs w:val="28"/>
        </w:rPr>
      </w:pPr>
    </w:p>
    <w:p w:rsidR="008E79BC" w:rsidRPr="00121323" w:rsidRDefault="00121323" w:rsidP="00121323">
      <w:pPr>
        <w:spacing w:line="360" w:lineRule="auto"/>
        <w:ind w:left="101" w:right="109" w:firstLine="705"/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C9046E" w:rsidRPr="00121323">
        <w:rPr>
          <w:sz w:val="28"/>
          <w:szCs w:val="28"/>
        </w:rPr>
        <w:t>ncaminh</w:t>
      </w:r>
      <w:r>
        <w:rPr>
          <w:sz w:val="28"/>
          <w:szCs w:val="28"/>
        </w:rPr>
        <w:t>o</w:t>
      </w:r>
      <w:r w:rsidR="00C9046E" w:rsidRPr="00121323">
        <w:rPr>
          <w:sz w:val="28"/>
          <w:szCs w:val="28"/>
        </w:rPr>
        <w:t xml:space="preserve"> os autos à Diretoria</w:t>
      </w:r>
      <w:r w:rsidR="00C9046E" w:rsidRPr="00121323">
        <w:rPr>
          <w:spacing w:val="-5"/>
          <w:sz w:val="28"/>
          <w:szCs w:val="28"/>
        </w:rPr>
        <w:t xml:space="preserve"> </w:t>
      </w:r>
      <w:r w:rsidR="00C9046E" w:rsidRPr="00121323">
        <w:rPr>
          <w:sz w:val="28"/>
          <w:szCs w:val="28"/>
        </w:rPr>
        <w:t>Legislativa</w:t>
      </w:r>
      <w:r w:rsidR="00C9046E" w:rsidRPr="00121323">
        <w:rPr>
          <w:spacing w:val="-5"/>
          <w:sz w:val="28"/>
          <w:szCs w:val="28"/>
        </w:rPr>
        <w:t xml:space="preserve"> </w:t>
      </w:r>
      <w:r w:rsidR="00C9046E" w:rsidRPr="00121323">
        <w:rPr>
          <w:sz w:val="28"/>
          <w:szCs w:val="28"/>
        </w:rPr>
        <w:t>para</w:t>
      </w:r>
      <w:r w:rsidR="00C9046E" w:rsidRPr="00121323">
        <w:rPr>
          <w:spacing w:val="-5"/>
          <w:sz w:val="28"/>
          <w:szCs w:val="28"/>
        </w:rPr>
        <w:t xml:space="preserve"> </w:t>
      </w:r>
      <w:r w:rsidR="00C9046E" w:rsidRPr="00121323">
        <w:rPr>
          <w:sz w:val="28"/>
          <w:szCs w:val="28"/>
        </w:rPr>
        <w:t>as devidas diligências.</w:t>
      </w:r>
    </w:p>
    <w:p w:rsidR="008E79BC" w:rsidRDefault="00C9046E" w:rsidP="00121323">
      <w:pPr>
        <w:pStyle w:val="Corpodetexto"/>
        <w:spacing w:before="240"/>
        <w:jc w:val="center"/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2</w:t>
      </w:r>
      <w:r w:rsidR="00121323">
        <w:t>6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2023</w:t>
      </w:r>
    </w:p>
    <w:p w:rsidR="008E79BC" w:rsidRDefault="008E79BC" w:rsidP="00121323">
      <w:pPr>
        <w:pStyle w:val="Corpodetexto"/>
        <w:jc w:val="center"/>
        <w:rPr>
          <w:sz w:val="30"/>
        </w:rPr>
      </w:pPr>
    </w:p>
    <w:p w:rsidR="008E79BC" w:rsidRDefault="008E79BC" w:rsidP="00121323">
      <w:pPr>
        <w:pStyle w:val="Corpodetexto"/>
        <w:spacing w:before="11"/>
        <w:jc w:val="center"/>
        <w:rPr>
          <w:sz w:val="25"/>
        </w:rPr>
      </w:pPr>
    </w:p>
    <w:p w:rsidR="008E79BC" w:rsidRDefault="008E79BC" w:rsidP="00121323">
      <w:pPr>
        <w:pStyle w:val="Corpodetexto"/>
        <w:jc w:val="center"/>
        <w:rPr>
          <w:sz w:val="26"/>
        </w:rPr>
      </w:pPr>
    </w:p>
    <w:p w:rsidR="008E79BC" w:rsidRDefault="00C9046E" w:rsidP="00121323">
      <w:pPr>
        <w:pStyle w:val="Heading2"/>
        <w:jc w:val="center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121323" w:rsidRDefault="00C9046E" w:rsidP="00121323">
      <w:pPr>
        <w:pStyle w:val="Corpodetexto"/>
        <w:ind w:right="105" w:hanging="218"/>
        <w:jc w:val="center"/>
      </w:pPr>
      <w:r>
        <w:t>Procurador</w:t>
      </w:r>
      <w:r>
        <w:rPr>
          <w:spacing w:val="-20"/>
        </w:rPr>
        <w:t xml:space="preserve"> </w:t>
      </w:r>
      <w:r>
        <w:t>Chefe</w:t>
      </w:r>
    </w:p>
    <w:p w:rsidR="008E79BC" w:rsidRDefault="00C9046E" w:rsidP="00121323">
      <w:pPr>
        <w:pStyle w:val="Corpodetexto"/>
        <w:ind w:right="105" w:hanging="218"/>
        <w:jc w:val="center"/>
      </w:pPr>
      <w:r>
        <w:t xml:space="preserve"> 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8E79BC" w:rsidSect="008E79BC">
      <w:pgSz w:w="11920" w:h="16840"/>
      <w:pgMar w:top="190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46E" w:rsidRDefault="00C9046E" w:rsidP="008E79BC">
      <w:r>
        <w:separator/>
      </w:r>
    </w:p>
  </w:endnote>
  <w:endnote w:type="continuationSeparator" w:id="0">
    <w:p w:rsidR="00C9046E" w:rsidRDefault="00C9046E" w:rsidP="008E79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46E" w:rsidRDefault="00C9046E" w:rsidP="008E79BC">
      <w:r>
        <w:separator/>
      </w:r>
    </w:p>
  </w:footnote>
  <w:footnote w:type="continuationSeparator" w:id="0">
    <w:p w:rsidR="00C9046E" w:rsidRDefault="00C9046E" w:rsidP="008E79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9BC" w:rsidRDefault="00C9046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E79BC" w:rsidRPr="008E79BC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E79BC" w:rsidRDefault="00C9046E">
                <w:pPr>
                  <w:spacing w:before="11"/>
                  <w:ind w:left="19" w:right="1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8E79BC" w:rsidRDefault="00C9046E">
                <w:pPr>
                  <w:ind w:left="20" w:right="1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CE0A5D"/>
    <w:multiLevelType w:val="hybridMultilevel"/>
    <w:tmpl w:val="9BA0EEC6"/>
    <w:lvl w:ilvl="0" w:tplc="AE6A944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C48CABA2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ED2A17C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91C48262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F12ECDA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30C3E1A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C23637B8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07361596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8EE0D0E8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1">
    <w:nsid w:val="7C301DD3"/>
    <w:multiLevelType w:val="hybridMultilevel"/>
    <w:tmpl w:val="D84691B8"/>
    <w:lvl w:ilvl="0" w:tplc="D0980E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95C8936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2C16C9E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C78256A6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8CCAA33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230E46FA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53FA2292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8FCE776A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92C8792A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E79BC"/>
    <w:rsid w:val="00121323"/>
    <w:rsid w:val="006E7780"/>
    <w:rsid w:val="008E79BC"/>
    <w:rsid w:val="00C90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E79B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79B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E79B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E79BC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8E79BC"/>
    <w:pPr>
      <w:ind w:right="105"/>
      <w:jc w:val="right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E79BC"/>
    <w:pPr>
      <w:ind w:left="101" w:hanging="359"/>
    </w:pPr>
  </w:style>
  <w:style w:type="paragraph" w:customStyle="1" w:styleId="TableParagraph">
    <w:name w:val="Table Paragraph"/>
    <w:basedOn w:val="Normal"/>
    <w:uiPriority w:val="1"/>
    <w:qFormat/>
    <w:rsid w:val="008E79B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819</Words>
  <Characters>4425</Characters>
  <Application>Microsoft Office Word</Application>
  <DocSecurity>0</DocSecurity>
  <Lines>36</Lines>
  <Paragraphs>10</Paragraphs>
  <ScaleCrop>false</ScaleCrop>
  <Company/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MSG013 Parecer Jurídico</dc:title>
  <dc:creator>Joao Roberto da Fonseca Junior</dc:creator>
  <cp:lastModifiedBy>Joao Roberto da Fonseca Junior</cp:lastModifiedBy>
  <cp:revision>3</cp:revision>
  <dcterms:created xsi:type="dcterms:W3CDTF">2023-06-26T16:57:00Z</dcterms:created>
  <dcterms:modified xsi:type="dcterms:W3CDTF">2023-06-26T16:57:00Z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m113 Google Docs Renderer</vt:lpwstr>
  </property>
</Properties>
</file>