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AFD" w:rsidRDefault="007927C4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PLL 036/2023</w:t>
      </w:r>
    </w:p>
    <w:p w:rsidR="00B66AFD" w:rsidRDefault="007927C4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Nº do Processo: 25248</w:t>
      </w:r>
    </w:p>
    <w:p w:rsidR="00B66AFD" w:rsidRDefault="007927C4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Requerente: Ver. Átila Andrade</w:t>
      </w:r>
    </w:p>
    <w:p w:rsidR="00B66AFD" w:rsidRDefault="007927C4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Tipo de Proposição: Projeto de Lei do Legislativo (PLL)</w:t>
      </w:r>
    </w:p>
    <w:p w:rsidR="00B66AFD" w:rsidRDefault="007927C4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Data de Conclusão à Procuradoria: 27/06/2023</w:t>
      </w:r>
    </w:p>
    <w:p w:rsidR="00B66AFD" w:rsidRDefault="00B66AFD">
      <w:pPr>
        <w:pStyle w:val="normal0"/>
        <w:rPr>
          <w:rFonts w:ascii="Arial" w:eastAsia="Arial" w:hAnsi="Arial" w:cs="Arial"/>
          <w:sz w:val="28"/>
          <w:szCs w:val="28"/>
        </w:rPr>
      </w:pPr>
    </w:p>
    <w:p w:rsidR="00B66AFD" w:rsidRDefault="007927C4" w:rsidP="00F108A2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RELATÓRIO</w:t>
      </w:r>
    </w:p>
    <w:p w:rsidR="00B66AFD" w:rsidRDefault="00B66AFD">
      <w:pPr>
        <w:pStyle w:val="normal0"/>
        <w:rPr>
          <w:rFonts w:ascii="Arial" w:eastAsia="Arial" w:hAnsi="Arial" w:cs="Arial"/>
          <w:sz w:val="28"/>
          <w:szCs w:val="28"/>
        </w:rPr>
      </w:pPr>
    </w:p>
    <w:p w:rsidR="00B66AFD" w:rsidRDefault="007927C4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 xml:space="preserve">Versa o expediente sobre proposição subscrita por </w:t>
      </w:r>
      <w:proofErr w:type="gramStart"/>
      <w:r>
        <w:rPr>
          <w:rFonts w:ascii="Arial" w:eastAsia="Arial" w:hAnsi="Arial" w:cs="Arial"/>
          <w:sz w:val="28"/>
          <w:szCs w:val="28"/>
        </w:rPr>
        <w:t>Edil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com assento nesta nobre Casa Legislativa, que solicita aprovação do Colendo Plenário para Projeto de Lei que “</w:t>
      </w:r>
      <w:r>
        <w:rPr>
          <w:rFonts w:ascii="Arial" w:eastAsia="Arial" w:hAnsi="Arial" w:cs="Arial"/>
          <w:i/>
          <w:sz w:val="28"/>
          <w:szCs w:val="28"/>
        </w:rPr>
        <w:t>Dispõe sobre a nova denominação da UPA 24H, passando a chamar-se Unidade de Pronto Atendime</w:t>
      </w:r>
      <w:r>
        <w:rPr>
          <w:rFonts w:ascii="Arial" w:eastAsia="Arial" w:hAnsi="Arial" w:cs="Arial"/>
          <w:i/>
          <w:sz w:val="28"/>
          <w:szCs w:val="28"/>
        </w:rPr>
        <w:t xml:space="preserve">nto - UPA 24h Prefeito Vilmar </w:t>
      </w:r>
      <w:proofErr w:type="spellStart"/>
      <w:r>
        <w:rPr>
          <w:rFonts w:ascii="Arial" w:eastAsia="Arial" w:hAnsi="Arial" w:cs="Arial"/>
          <w:i/>
          <w:sz w:val="28"/>
          <w:szCs w:val="28"/>
        </w:rPr>
        <w:t>Ballin</w:t>
      </w:r>
      <w:proofErr w:type="spellEnd"/>
      <w:r>
        <w:rPr>
          <w:rFonts w:ascii="Arial" w:eastAsia="Arial" w:hAnsi="Arial" w:cs="Arial"/>
          <w:i/>
          <w:sz w:val="28"/>
          <w:szCs w:val="28"/>
        </w:rPr>
        <w:t>, localizada na ERS118, esquina com a Rua Ursa Maior, Sapucaia do Sul/ RS, e dá outras providências</w:t>
      </w:r>
      <w:r>
        <w:rPr>
          <w:rFonts w:ascii="Arial" w:eastAsia="Arial" w:hAnsi="Arial" w:cs="Arial"/>
          <w:sz w:val="28"/>
          <w:szCs w:val="28"/>
        </w:rPr>
        <w:t>”.</w:t>
      </w:r>
    </w:p>
    <w:p w:rsidR="00B66AFD" w:rsidRDefault="00B66AFD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B66AFD" w:rsidRDefault="007927C4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 processo tramita exclusivamente em formato digital, constam dos autos eletrônicos os seguintes documentos:</w:t>
      </w:r>
    </w:p>
    <w:p w:rsidR="00B66AFD" w:rsidRDefault="00B66AFD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B66AFD" w:rsidRDefault="007927C4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5967</w:t>
      </w:r>
      <w:r>
        <w:rPr>
          <w:rFonts w:ascii="Arial" w:eastAsia="Arial" w:hAnsi="Arial" w:cs="Arial"/>
          <w:sz w:val="28"/>
          <w:szCs w:val="28"/>
        </w:rPr>
        <w:t>3 (página única);</w:t>
      </w:r>
    </w:p>
    <w:p w:rsidR="00B66AFD" w:rsidRDefault="007927C4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59703 (página única);</w:t>
      </w:r>
    </w:p>
    <w:p w:rsidR="00B66AFD" w:rsidRDefault="00B66AFD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B66AFD" w:rsidRDefault="00B66AFD">
      <w:pPr>
        <w:pStyle w:val="normal0"/>
        <w:rPr>
          <w:rFonts w:ascii="Arial" w:eastAsia="Arial" w:hAnsi="Arial" w:cs="Arial"/>
          <w:b/>
          <w:sz w:val="28"/>
          <w:szCs w:val="28"/>
        </w:rPr>
      </w:pPr>
    </w:p>
    <w:p w:rsidR="00B66AFD" w:rsidRDefault="007927C4" w:rsidP="00F108A2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PARECER</w:t>
      </w:r>
    </w:p>
    <w:p w:rsidR="00B66AFD" w:rsidRDefault="007927C4">
      <w:pPr>
        <w:pStyle w:val="normal0"/>
        <w:spacing w:before="240"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      Os requisitos para denominação de próprios municipais são estabelecidos pela Lei Municipal nº 3344/2011, que regulamenta o art. 65 da Lei Orgânica Municipal, e que por sua vez, estabelece </w:t>
      </w:r>
      <w:r>
        <w:rPr>
          <w:rFonts w:ascii="Arial" w:eastAsia="Arial" w:hAnsi="Arial" w:cs="Arial"/>
          <w:sz w:val="28"/>
          <w:szCs w:val="28"/>
          <w:u w:val="single"/>
        </w:rPr>
        <w:t>inicia</w:t>
      </w:r>
      <w:r>
        <w:rPr>
          <w:rFonts w:ascii="Arial" w:eastAsia="Arial" w:hAnsi="Arial" w:cs="Arial"/>
          <w:sz w:val="28"/>
          <w:szCs w:val="28"/>
          <w:u w:val="single"/>
        </w:rPr>
        <w:t>tiva concorrente</w:t>
      </w:r>
      <w:r>
        <w:rPr>
          <w:rFonts w:ascii="Arial" w:eastAsia="Arial" w:hAnsi="Arial" w:cs="Arial"/>
          <w:sz w:val="28"/>
          <w:szCs w:val="28"/>
        </w:rPr>
        <w:t xml:space="preserve"> entre os poderes Executivo e Legislativo para essa finalidade, observados os critérios e/ou requisitos estabelecidos em Lei. São eles: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Art. 3º Na escolha de novos nomes para logradouros públicos do Município serão observadas as seguintes n</w:t>
      </w:r>
      <w:r>
        <w:rPr>
          <w:rFonts w:ascii="Arial" w:eastAsia="Arial" w:hAnsi="Arial" w:cs="Arial"/>
          <w:i/>
          <w:sz w:val="28"/>
          <w:szCs w:val="28"/>
        </w:rPr>
        <w:t>ormas: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I </w:t>
      </w:r>
      <w:r>
        <w:rPr>
          <w:i/>
          <w:sz w:val="28"/>
          <w:szCs w:val="28"/>
        </w:rPr>
        <w:t>‐</w:t>
      </w:r>
      <w:r>
        <w:rPr>
          <w:rFonts w:ascii="Arial" w:eastAsia="Arial" w:hAnsi="Arial" w:cs="Arial"/>
          <w:i/>
          <w:sz w:val="28"/>
          <w:szCs w:val="28"/>
        </w:rPr>
        <w:t xml:space="preserve"> nome de brasileiros já falecidos, no mínimo há um ano, que se tenham distinguido: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lastRenderedPageBreak/>
        <w:t>a) em virtude de relevantes serviços prestados ao Município, Estado ou País;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b) por sua cultura e projeção em qualquer ramo do saber;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c) pela prática de atos </w:t>
      </w:r>
      <w:proofErr w:type="spellStart"/>
      <w:r>
        <w:rPr>
          <w:rFonts w:ascii="Arial" w:eastAsia="Arial" w:hAnsi="Arial" w:cs="Arial"/>
          <w:i/>
          <w:sz w:val="28"/>
          <w:szCs w:val="28"/>
        </w:rPr>
        <w:t>heróicos</w:t>
      </w:r>
      <w:proofErr w:type="spellEnd"/>
      <w:r>
        <w:rPr>
          <w:rFonts w:ascii="Arial" w:eastAsia="Arial" w:hAnsi="Arial" w:cs="Arial"/>
          <w:i/>
          <w:sz w:val="28"/>
          <w:szCs w:val="28"/>
        </w:rPr>
        <w:t xml:space="preserve"> e edificantes.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II </w:t>
      </w:r>
      <w:r>
        <w:rPr>
          <w:i/>
          <w:sz w:val="28"/>
          <w:szCs w:val="28"/>
        </w:rPr>
        <w:t>‐</w:t>
      </w:r>
      <w:r>
        <w:rPr>
          <w:rFonts w:ascii="Arial" w:eastAsia="Arial" w:hAnsi="Arial" w:cs="Arial"/>
          <w:i/>
          <w:sz w:val="28"/>
          <w:szCs w:val="28"/>
        </w:rPr>
        <w:t xml:space="preserve"> nomes de fácil pronúncia tirados da História, Geografia, Flora, Fauna e Folclore do Brasil ou de Países, e da Mitologia Clássica;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III </w:t>
      </w:r>
      <w:r>
        <w:rPr>
          <w:i/>
          <w:sz w:val="28"/>
          <w:szCs w:val="28"/>
        </w:rPr>
        <w:t>‐</w:t>
      </w:r>
      <w:r>
        <w:rPr>
          <w:rFonts w:ascii="Arial" w:eastAsia="Arial" w:hAnsi="Arial" w:cs="Arial"/>
          <w:i/>
          <w:sz w:val="28"/>
          <w:szCs w:val="28"/>
        </w:rPr>
        <w:t xml:space="preserve"> nomes de fácil pronúncia extraídos da Bíblia Sagrada, datas e S</w:t>
      </w:r>
      <w:r>
        <w:rPr>
          <w:rFonts w:ascii="Arial" w:eastAsia="Arial" w:hAnsi="Arial" w:cs="Arial"/>
          <w:i/>
          <w:sz w:val="28"/>
          <w:szCs w:val="28"/>
        </w:rPr>
        <w:t>antos do calendário religioso;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IV </w:t>
      </w:r>
      <w:r>
        <w:rPr>
          <w:i/>
          <w:sz w:val="28"/>
          <w:szCs w:val="28"/>
        </w:rPr>
        <w:t>‐</w:t>
      </w:r>
      <w:r>
        <w:rPr>
          <w:rFonts w:ascii="Arial" w:eastAsia="Arial" w:hAnsi="Arial" w:cs="Arial"/>
          <w:i/>
          <w:sz w:val="28"/>
          <w:szCs w:val="28"/>
        </w:rPr>
        <w:t xml:space="preserve"> datas de significação especial para a História do Brasil e Universal;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V </w:t>
      </w:r>
      <w:r>
        <w:rPr>
          <w:i/>
          <w:sz w:val="28"/>
          <w:szCs w:val="28"/>
        </w:rPr>
        <w:t>‐</w:t>
      </w:r>
      <w:r>
        <w:rPr>
          <w:rFonts w:ascii="Arial" w:eastAsia="Arial" w:hAnsi="Arial" w:cs="Arial"/>
          <w:i/>
          <w:sz w:val="28"/>
          <w:szCs w:val="28"/>
        </w:rPr>
        <w:t xml:space="preserve"> nomes de personalidades estrangeiras com notória indiscutível projeção.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Art. 4º Os nomes de pessoas deverão conter o mínimo indispensável à </w:t>
      </w:r>
      <w:r>
        <w:rPr>
          <w:rFonts w:ascii="Arial" w:eastAsia="Arial" w:hAnsi="Arial" w:cs="Arial"/>
          <w:i/>
          <w:sz w:val="28"/>
          <w:szCs w:val="28"/>
        </w:rPr>
        <w:t>sua imediata identificação, inclusive, dando</w:t>
      </w:r>
      <w:r>
        <w:rPr>
          <w:i/>
          <w:sz w:val="28"/>
          <w:szCs w:val="28"/>
        </w:rPr>
        <w:t>‐</w:t>
      </w:r>
      <w:r>
        <w:rPr>
          <w:rFonts w:ascii="Arial" w:eastAsia="Arial" w:hAnsi="Arial" w:cs="Arial"/>
          <w:i/>
          <w:sz w:val="28"/>
          <w:szCs w:val="28"/>
        </w:rPr>
        <w:t>se preferência aos nomes de duas (2) palavras.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Art. 5º Na aplicação das denominações deverá ser observada tanto quanto possível: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a) a concordância do nome com o ambiente local;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b) nomes de um mesmo gênero ou r</w:t>
      </w:r>
      <w:r>
        <w:rPr>
          <w:rFonts w:ascii="Arial" w:eastAsia="Arial" w:hAnsi="Arial" w:cs="Arial"/>
          <w:i/>
          <w:sz w:val="28"/>
          <w:szCs w:val="28"/>
        </w:rPr>
        <w:t>egião serão sempre que possível, agrupados em ruas próximas;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c) nomes mais expressivos deverão ser usados nos logradouros mais importantes;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(...)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Art. 8º Todo o projeto de Lei, para denominação de novos logradouros, bairros ou bens públicos, deverá ser</w:t>
      </w:r>
      <w:r>
        <w:rPr>
          <w:rFonts w:ascii="Arial" w:eastAsia="Arial" w:hAnsi="Arial" w:cs="Arial"/>
          <w:i/>
          <w:sz w:val="28"/>
          <w:szCs w:val="28"/>
        </w:rPr>
        <w:t xml:space="preserve"> instruído com a documentação que faça prova do falecimento, da pessoa homenageada, e sendo o caso, outros documentos que comprovem que está enquadrado nos requisitos e critérios estabelecidos por esta lei.</w:t>
      </w:r>
    </w:p>
    <w:p w:rsidR="00B66AFD" w:rsidRDefault="007927C4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B66AFD" w:rsidRDefault="007927C4">
      <w:pPr>
        <w:pStyle w:val="normal0"/>
        <w:spacing w:before="240"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 xml:space="preserve"> </w:t>
      </w:r>
    </w:p>
    <w:p w:rsidR="00B66AFD" w:rsidRDefault="007927C4">
      <w:pPr>
        <w:pStyle w:val="normal0"/>
        <w:spacing w:before="240"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  </w:t>
      </w:r>
      <w:r>
        <w:rPr>
          <w:rFonts w:ascii="Arial" w:eastAsia="Arial" w:hAnsi="Arial" w:cs="Arial"/>
          <w:sz w:val="28"/>
          <w:szCs w:val="28"/>
        </w:rPr>
        <w:tab/>
        <w:t>Relativamente à adequação do nome escol</w:t>
      </w:r>
      <w:r>
        <w:rPr>
          <w:rFonts w:ascii="Arial" w:eastAsia="Arial" w:hAnsi="Arial" w:cs="Arial"/>
          <w:sz w:val="28"/>
          <w:szCs w:val="28"/>
        </w:rPr>
        <w:t>hido aos critérios entabulados pela lei acima citada, deverão as comissões competentes da Câmara de Vereadores pronunciarem-se na oportunidade regimental.</w:t>
      </w:r>
    </w:p>
    <w:p w:rsidR="00F108A2" w:rsidRDefault="007927C4">
      <w:pPr>
        <w:pStyle w:val="normal0"/>
        <w:spacing w:before="240"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ab/>
        <w:t xml:space="preserve">No que se refere propriamente à legalidade do projeto, verificamos que o teor do </w:t>
      </w:r>
      <w:r w:rsidRPr="00F108A2">
        <w:rPr>
          <w:rFonts w:ascii="Arial" w:eastAsia="Arial" w:hAnsi="Arial" w:cs="Arial"/>
          <w:b/>
          <w:sz w:val="28"/>
          <w:szCs w:val="28"/>
          <w:u w:val="single"/>
        </w:rPr>
        <w:t>parágrafo único do</w:t>
      </w:r>
      <w:r w:rsidRPr="00F108A2">
        <w:rPr>
          <w:rFonts w:ascii="Arial" w:eastAsia="Arial" w:hAnsi="Arial" w:cs="Arial"/>
          <w:b/>
          <w:sz w:val="28"/>
          <w:szCs w:val="28"/>
          <w:u w:val="single"/>
        </w:rPr>
        <w:t xml:space="preserve"> seu art. 1º</w:t>
      </w:r>
      <w:r>
        <w:rPr>
          <w:rFonts w:ascii="Arial" w:eastAsia="Arial" w:hAnsi="Arial" w:cs="Arial"/>
          <w:sz w:val="28"/>
          <w:szCs w:val="28"/>
        </w:rPr>
        <w:t xml:space="preserve"> trata de estabelecer ao </w:t>
      </w:r>
      <w:r w:rsidRPr="00F108A2">
        <w:rPr>
          <w:rFonts w:ascii="Arial" w:eastAsia="Arial" w:hAnsi="Arial" w:cs="Arial"/>
          <w:b/>
          <w:sz w:val="28"/>
          <w:szCs w:val="28"/>
        </w:rPr>
        <w:t>Poder Executivo “</w:t>
      </w:r>
      <w:r w:rsidRPr="00F108A2">
        <w:rPr>
          <w:rFonts w:ascii="Arial" w:eastAsia="Arial" w:hAnsi="Arial" w:cs="Arial"/>
          <w:b/>
          <w:i/>
          <w:sz w:val="28"/>
          <w:szCs w:val="28"/>
        </w:rPr>
        <w:t>a responsabilidade de confecção e colocação da placa de identificação da referida Unidade de Pronto Atendimento</w:t>
      </w:r>
      <w:r w:rsidRPr="00F108A2">
        <w:rPr>
          <w:rFonts w:ascii="Arial" w:eastAsia="Arial" w:hAnsi="Arial" w:cs="Arial"/>
          <w:b/>
          <w:sz w:val="28"/>
          <w:szCs w:val="28"/>
        </w:rPr>
        <w:t>”.</w:t>
      </w: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F108A2" w:rsidRDefault="007927C4" w:rsidP="00F108A2">
      <w:pPr>
        <w:pStyle w:val="normal0"/>
        <w:spacing w:before="240" w:after="240" w:line="360" w:lineRule="auto"/>
        <w:ind w:firstLine="709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Tal dispositivo, a nosso juízo, se constitui em determinação de prática de </w:t>
      </w:r>
      <w:r>
        <w:rPr>
          <w:rFonts w:ascii="Arial" w:eastAsia="Arial" w:hAnsi="Arial" w:cs="Arial"/>
          <w:i/>
          <w:sz w:val="28"/>
          <w:szCs w:val="28"/>
        </w:rPr>
        <w:t>ato administr</w:t>
      </w:r>
      <w:r>
        <w:rPr>
          <w:rFonts w:ascii="Arial" w:eastAsia="Arial" w:hAnsi="Arial" w:cs="Arial"/>
          <w:i/>
          <w:sz w:val="28"/>
          <w:szCs w:val="28"/>
        </w:rPr>
        <w:t>ativo em concreto</w:t>
      </w:r>
      <w:r>
        <w:rPr>
          <w:rFonts w:ascii="Arial" w:eastAsia="Arial" w:hAnsi="Arial" w:cs="Arial"/>
          <w:sz w:val="28"/>
          <w:szCs w:val="28"/>
        </w:rPr>
        <w:t xml:space="preserve">, competência própria do Prefeito Municipal (art. 82, IX), à revelia, portanto, do princípio da separação dos poderes. </w:t>
      </w:r>
    </w:p>
    <w:p w:rsidR="00B66AFD" w:rsidRDefault="007927C4" w:rsidP="00F108A2">
      <w:pPr>
        <w:pStyle w:val="normal0"/>
        <w:spacing w:before="240" w:after="240" w:line="360" w:lineRule="auto"/>
        <w:ind w:firstLine="709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Quanto a esse aspecto fica registrada competente </w:t>
      </w:r>
      <w:r>
        <w:rPr>
          <w:rFonts w:ascii="Arial" w:eastAsia="Arial" w:hAnsi="Arial" w:cs="Arial"/>
          <w:b/>
          <w:sz w:val="28"/>
          <w:szCs w:val="28"/>
          <w:u w:val="single"/>
        </w:rPr>
        <w:t>ressalva</w:t>
      </w:r>
      <w:r>
        <w:rPr>
          <w:rFonts w:ascii="Arial" w:eastAsia="Arial" w:hAnsi="Arial" w:cs="Arial"/>
          <w:sz w:val="28"/>
          <w:szCs w:val="28"/>
        </w:rPr>
        <w:t>.</w:t>
      </w:r>
    </w:p>
    <w:p w:rsidR="00B66AFD" w:rsidRDefault="007927C4">
      <w:pPr>
        <w:pStyle w:val="normal0"/>
        <w:spacing w:before="240" w:after="240" w:line="360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Por derradeiro anotamos que a deliberação pelo plenário da nobre Casa Legislativa deve ser precedida da manifestação das seguintes comissões permanentes:</w:t>
      </w:r>
    </w:p>
    <w:p w:rsidR="00B66AFD" w:rsidRDefault="007927C4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a) </w:t>
      </w:r>
      <w:r w:rsidRPr="00F108A2">
        <w:rPr>
          <w:rFonts w:ascii="Arial" w:eastAsia="Arial" w:hAnsi="Arial" w:cs="Arial"/>
          <w:b/>
          <w:sz w:val="28"/>
          <w:szCs w:val="28"/>
        </w:rPr>
        <w:t>LEGISLAÇÃO E JUSTIÇA</w:t>
      </w:r>
      <w:r>
        <w:rPr>
          <w:rFonts w:ascii="Arial" w:eastAsia="Arial" w:hAnsi="Arial" w:cs="Arial"/>
          <w:sz w:val="28"/>
          <w:szCs w:val="28"/>
        </w:rPr>
        <w:t>, por ser condição de tramitação do processo legislativo para todas as propos</w:t>
      </w:r>
      <w:r>
        <w:rPr>
          <w:rFonts w:ascii="Arial" w:eastAsia="Arial" w:hAnsi="Arial" w:cs="Arial"/>
          <w:sz w:val="28"/>
          <w:szCs w:val="28"/>
        </w:rPr>
        <w:t>ições em geral, e especificamente para projetos que envolvem denominação de próprios do município:</w:t>
      </w:r>
    </w:p>
    <w:p w:rsidR="00B66AFD" w:rsidRDefault="007927C4">
      <w:pPr>
        <w:pStyle w:val="normal0"/>
        <w:ind w:left="35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B66AFD" w:rsidRPr="00F108A2" w:rsidRDefault="007927C4">
      <w:pPr>
        <w:pStyle w:val="normal0"/>
        <w:ind w:left="2100"/>
        <w:jc w:val="both"/>
        <w:rPr>
          <w:rFonts w:ascii="Arial" w:eastAsia="Arial" w:hAnsi="Arial" w:cs="Arial"/>
          <w:b/>
          <w:sz w:val="28"/>
          <w:szCs w:val="28"/>
        </w:rPr>
      </w:pPr>
      <w:r w:rsidRPr="00F108A2">
        <w:rPr>
          <w:rFonts w:ascii="Arial" w:eastAsia="Arial" w:hAnsi="Arial" w:cs="Arial"/>
          <w:b/>
          <w:sz w:val="28"/>
          <w:szCs w:val="28"/>
        </w:rPr>
        <w:t>Art. 76- Compete à Comissão de Legislação e Justiça manifestar-se sobre todos os assuntos nos aspectos constitucional, redacional e legal e, quando já apro</w:t>
      </w:r>
      <w:r w:rsidRPr="00F108A2">
        <w:rPr>
          <w:rFonts w:ascii="Arial" w:eastAsia="Arial" w:hAnsi="Arial" w:cs="Arial"/>
          <w:b/>
          <w:sz w:val="28"/>
          <w:szCs w:val="28"/>
        </w:rPr>
        <w:t>vados pelo Plenário, analisá-los sob os aspectos lógico e gramatical, de modo a adequar ao bom vernáculo o texto das proposições.</w:t>
      </w:r>
    </w:p>
    <w:p w:rsidR="00B66AFD" w:rsidRDefault="007927C4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B66AFD" w:rsidRDefault="007927C4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§ 1º- Salvo expressa disposição em contrário deste Regimento, é obrigatória a audiência da Comissão de </w:t>
      </w:r>
      <w:r>
        <w:rPr>
          <w:rFonts w:ascii="Arial" w:eastAsia="Arial" w:hAnsi="Arial" w:cs="Arial"/>
          <w:sz w:val="28"/>
          <w:szCs w:val="28"/>
        </w:rPr>
        <w:lastRenderedPageBreak/>
        <w:t xml:space="preserve">Legislação e Justiça </w:t>
      </w:r>
      <w:r>
        <w:rPr>
          <w:rFonts w:ascii="Arial" w:eastAsia="Arial" w:hAnsi="Arial" w:cs="Arial"/>
          <w:sz w:val="28"/>
          <w:szCs w:val="28"/>
        </w:rPr>
        <w:t>em todos os projetos de lei e determinadas matérias que tramitarem pela Câmara.</w:t>
      </w:r>
    </w:p>
    <w:p w:rsidR="00B66AFD" w:rsidRDefault="007927C4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B66AFD" w:rsidRDefault="007927C4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(...)</w:t>
      </w:r>
    </w:p>
    <w:p w:rsidR="00B66AFD" w:rsidRDefault="007927C4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B66AFD" w:rsidRPr="00F108A2" w:rsidRDefault="007927C4">
      <w:pPr>
        <w:pStyle w:val="normal0"/>
        <w:ind w:left="2100"/>
        <w:jc w:val="both"/>
        <w:rPr>
          <w:rFonts w:ascii="Arial" w:eastAsia="Arial" w:hAnsi="Arial" w:cs="Arial"/>
          <w:b/>
          <w:i/>
          <w:sz w:val="28"/>
          <w:szCs w:val="28"/>
        </w:rPr>
      </w:pPr>
      <w:r w:rsidRPr="00F108A2">
        <w:rPr>
          <w:rFonts w:ascii="Arial" w:eastAsia="Arial" w:hAnsi="Arial" w:cs="Arial"/>
          <w:b/>
          <w:i/>
          <w:sz w:val="28"/>
          <w:szCs w:val="28"/>
        </w:rPr>
        <w:t>§ 3º- A Comissão de Legislação e Justiça manifestar-se-á sobre o mérito da proposição, assim atendida a colocação do assunto sob o prisma de sua conveniência, utilida</w:t>
      </w:r>
      <w:r w:rsidRPr="00F108A2">
        <w:rPr>
          <w:rFonts w:ascii="Arial" w:eastAsia="Arial" w:hAnsi="Arial" w:cs="Arial"/>
          <w:b/>
          <w:i/>
          <w:sz w:val="28"/>
          <w:szCs w:val="28"/>
        </w:rPr>
        <w:t>de e oportunidade, principalmente nos seguintes casos:</w:t>
      </w:r>
    </w:p>
    <w:p w:rsidR="00B66AFD" w:rsidRPr="00F108A2" w:rsidRDefault="007927C4">
      <w:pPr>
        <w:pStyle w:val="normal0"/>
        <w:ind w:left="2100"/>
        <w:jc w:val="both"/>
        <w:rPr>
          <w:rFonts w:ascii="Arial" w:eastAsia="Arial" w:hAnsi="Arial" w:cs="Arial"/>
          <w:i/>
          <w:sz w:val="28"/>
          <w:szCs w:val="28"/>
        </w:rPr>
      </w:pPr>
      <w:r w:rsidRPr="00F108A2"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Pr="00F108A2" w:rsidRDefault="007927C4">
      <w:pPr>
        <w:pStyle w:val="normal0"/>
        <w:ind w:left="2100"/>
        <w:jc w:val="both"/>
        <w:rPr>
          <w:rFonts w:ascii="Arial" w:eastAsia="Arial" w:hAnsi="Arial" w:cs="Arial"/>
          <w:i/>
          <w:sz w:val="28"/>
          <w:szCs w:val="28"/>
        </w:rPr>
      </w:pPr>
      <w:r w:rsidRPr="00F108A2">
        <w:rPr>
          <w:rFonts w:ascii="Arial" w:eastAsia="Arial" w:hAnsi="Arial" w:cs="Arial"/>
          <w:i/>
          <w:sz w:val="28"/>
          <w:szCs w:val="28"/>
        </w:rPr>
        <w:t>(...)</w:t>
      </w:r>
    </w:p>
    <w:p w:rsidR="00B66AFD" w:rsidRPr="00F108A2" w:rsidRDefault="007927C4">
      <w:pPr>
        <w:pStyle w:val="normal0"/>
        <w:ind w:left="2100"/>
        <w:jc w:val="both"/>
        <w:rPr>
          <w:rFonts w:ascii="Arial" w:eastAsia="Arial" w:hAnsi="Arial" w:cs="Arial"/>
          <w:i/>
          <w:sz w:val="28"/>
          <w:szCs w:val="28"/>
        </w:rPr>
      </w:pPr>
      <w:r w:rsidRPr="00F108A2"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Pr="00F108A2" w:rsidRDefault="007927C4">
      <w:pPr>
        <w:pStyle w:val="normal0"/>
        <w:ind w:left="2100"/>
        <w:jc w:val="both"/>
        <w:rPr>
          <w:rFonts w:ascii="Arial" w:eastAsia="Arial" w:hAnsi="Arial" w:cs="Arial"/>
          <w:b/>
          <w:i/>
          <w:sz w:val="28"/>
          <w:szCs w:val="28"/>
          <w:u w:val="single"/>
        </w:rPr>
      </w:pPr>
      <w:r w:rsidRPr="00F108A2">
        <w:rPr>
          <w:rFonts w:ascii="Arial" w:eastAsia="Arial" w:hAnsi="Arial" w:cs="Arial"/>
          <w:b/>
          <w:i/>
          <w:sz w:val="28"/>
          <w:szCs w:val="28"/>
          <w:u w:val="single"/>
        </w:rPr>
        <w:t>VI - alteração de denominação de próprios, vias e logradouros públicos</w:t>
      </w:r>
      <w:r w:rsidR="00F108A2" w:rsidRPr="00F108A2">
        <w:rPr>
          <w:rFonts w:ascii="Arial" w:eastAsia="Arial" w:hAnsi="Arial" w:cs="Arial"/>
          <w:b/>
          <w:i/>
          <w:sz w:val="28"/>
          <w:szCs w:val="28"/>
          <w:u w:val="single"/>
        </w:rPr>
        <w:t>.</w:t>
      </w:r>
    </w:p>
    <w:p w:rsidR="00B66AFD" w:rsidRDefault="007927C4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B66AFD" w:rsidRDefault="007927C4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B66AFD" w:rsidRDefault="007927C4" w:rsidP="00F108A2">
      <w:pPr>
        <w:pStyle w:val="normal0"/>
        <w:spacing w:before="240" w:after="240" w:line="360" w:lineRule="auto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CONSIDERAÇÕES FINAIS</w:t>
      </w:r>
    </w:p>
    <w:p w:rsidR="00F108A2" w:rsidRDefault="007927C4">
      <w:pPr>
        <w:pStyle w:val="normal0"/>
        <w:spacing w:before="240" w:after="240" w:line="360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Em conformidade com os fundamentos normativos</w:t>
      </w:r>
      <w:r w:rsidR="00F108A2">
        <w:rPr>
          <w:rFonts w:ascii="Arial" w:eastAsia="Arial" w:hAnsi="Arial" w:cs="Arial"/>
          <w:sz w:val="28"/>
          <w:szCs w:val="28"/>
        </w:rPr>
        <w:t xml:space="preserve"> apresentados acima, encaminho</w:t>
      </w:r>
      <w:r>
        <w:rPr>
          <w:rFonts w:ascii="Arial" w:eastAsia="Arial" w:hAnsi="Arial" w:cs="Arial"/>
          <w:sz w:val="28"/>
          <w:szCs w:val="28"/>
        </w:rPr>
        <w:t xml:space="preserve"> o expediente </w:t>
      </w:r>
      <w:r>
        <w:rPr>
          <w:rFonts w:ascii="Arial" w:eastAsia="Arial" w:hAnsi="Arial" w:cs="Arial"/>
          <w:sz w:val="28"/>
          <w:szCs w:val="28"/>
        </w:rPr>
        <w:t xml:space="preserve">opinando, por hora, pela </w:t>
      </w:r>
      <w:r>
        <w:rPr>
          <w:rFonts w:ascii="Arial" w:eastAsia="Arial" w:hAnsi="Arial" w:cs="Arial"/>
          <w:b/>
          <w:sz w:val="28"/>
          <w:szCs w:val="28"/>
          <w:u w:val="single"/>
        </w:rPr>
        <w:t>inviabilidade de tramitação</w:t>
      </w:r>
      <w:r>
        <w:rPr>
          <w:rFonts w:ascii="Arial" w:eastAsia="Arial" w:hAnsi="Arial" w:cs="Arial"/>
          <w:b/>
          <w:sz w:val="28"/>
          <w:szCs w:val="28"/>
        </w:rPr>
        <w:t xml:space="preserve">, </w:t>
      </w:r>
      <w:r>
        <w:rPr>
          <w:rFonts w:ascii="Arial" w:eastAsia="Arial" w:hAnsi="Arial" w:cs="Arial"/>
          <w:sz w:val="28"/>
          <w:szCs w:val="28"/>
        </w:rPr>
        <w:t xml:space="preserve">tendo em vista a existência, no corpo da proposição, de dispositivo determinando a prática de </w:t>
      </w:r>
      <w:r>
        <w:rPr>
          <w:rFonts w:ascii="Arial" w:eastAsia="Arial" w:hAnsi="Arial" w:cs="Arial"/>
          <w:i/>
          <w:sz w:val="28"/>
          <w:szCs w:val="28"/>
        </w:rPr>
        <w:t>ato administrativo em concreto</w:t>
      </w:r>
      <w:r>
        <w:rPr>
          <w:rFonts w:ascii="Arial" w:eastAsia="Arial" w:hAnsi="Arial" w:cs="Arial"/>
          <w:sz w:val="28"/>
          <w:szCs w:val="28"/>
        </w:rPr>
        <w:t xml:space="preserve"> (art. 1º, parágrafo único). </w:t>
      </w:r>
      <w:r w:rsidR="00F108A2">
        <w:rPr>
          <w:rFonts w:ascii="Arial" w:eastAsia="Arial" w:hAnsi="Arial" w:cs="Arial"/>
          <w:sz w:val="28"/>
          <w:szCs w:val="28"/>
        </w:rPr>
        <w:t>Sugere-se aqui, a notificação do autor do referido Projeto de Lei para adequações.</w:t>
      </w:r>
    </w:p>
    <w:p w:rsidR="00B66AFD" w:rsidRDefault="00F108A2">
      <w:pPr>
        <w:pStyle w:val="normal0"/>
        <w:spacing w:before="240" w:after="240" w:line="360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</w:t>
      </w:r>
      <w:r w:rsidR="007927C4">
        <w:rPr>
          <w:rFonts w:ascii="Arial" w:eastAsia="Arial" w:hAnsi="Arial" w:cs="Arial"/>
          <w:sz w:val="28"/>
          <w:szCs w:val="28"/>
        </w:rPr>
        <w:t>ncaminh</w:t>
      </w:r>
      <w:r>
        <w:rPr>
          <w:rFonts w:ascii="Arial" w:eastAsia="Arial" w:hAnsi="Arial" w:cs="Arial"/>
          <w:sz w:val="28"/>
          <w:szCs w:val="28"/>
        </w:rPr>
        <w:t>o</w:t>
      </w:r>
      <w:r w:rsidR="007927C4">
        <w:rPr>
          <w:rFonts w:ascii="Arial" w:eastAsia="Arial" w:hAnsi="Arial" w:cs="Arial"/>
          <w:sz w:val="28"/>
          <w:szCs w:val="28"/>
        </w:rPr>
        <w:t xml:space="preserve"> os autos à Diretoria Legislativa para as devidas diligências</w:t>
      </w:r>
      <w:r>
        <w:rPr>
          <w:rFonts w:ascii="Arial" w:eastAsia="Arial" w:hAnsi="Arial" w:cs="Arial"/>
          <w:sz w:val="28"/>
          <w:szCs w:val="28"/>
        </w:rPr>
        <w:t xml:space="preserve"> junto às Comissões Permanentes responsáveis</w:t>
      </w:r>
      <w:r w:rsidR="007927C4">
        <w:rPr>
          <w:rFonts w:ascii="Arial" w:eastAsia="Arial" w:hAnsi="Arial" w:cs="Arial"/>
          <w:sz w:val="28"/>
          <w:szCs w:val="28"/>
        </w:rPr>
        <w:t>.</w:t>
      </w:r>
    </w:p>
    <w:p w:rsidR="00B66AFD" w:rsidRDefault="007927C4" w:rsidP="00F108A2">
      <w:pPr>
        <w:pStyle w:val="normal0"/>
        <w:spacing w:before="240" w:after="240" w:line="360" w:lineRule="auto"/>
        <w:ind w:firstLine="70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Parecer exarado em 31 de julho de 2023</w:t>
      </w:r>
    </w:p>
    <w:p w:rsidR="00B66AFD" w:rsidRDefault="00B66AFD" w:rsidP="00F108A2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</w:p>
    <w:p w:rsidR="00B66AFD" w:rsidRDefault="007927C4" w:rsidP="00F108A2">
      <w:pPr>
        <w:pStyle w:val="normal0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João Roberto da Fonseca Junior</w:t>
      </w:r>
    </w:p>
    <w:p w:rsidR="00B66AFD" w:rsidRDefault="007927C4" w:rsidP="00F108A2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Procurador Chefe</w:t>
      </w:r>
    </w:p>
    <w:p w:rsidR="00B66AFD" w:rsidRDefault="007927C4" w:rsidP="00F108A2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OAB/RS 69.257</w:t>
      </w:r>
    </w:p>
    <w:p w:rsidR="00B66AFD" w:rsidRDefault="00B66AFD" w:rsidP="00F108A2">
      <w:pPr>
        <w:pStyle w:val="normal0"/>
        <w:ind w:firstLine="700"/>
        <w:jc w:val="center"/>
        <w:rPr>
          <w:rFonts w:ascii="Arial" w:eastAsia="Arial" w:hAnsi="Arial" w:cs="Arial"/>
          <w:sz w:val="28"/>
          <w:szCs w:val="28"/>
        </w:rPr>
      </w:pPr>
    </w:p>
    <w:p w:rsidR="00B66AFD" w:rsidRDefault="00B66AFD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sectPr w:rsidR="00B66AFD" w:rsidSect="00B66AFD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27C4" w:rsidRDefault="007927C4" w:rsidP="00B66AFD">
      <w:r>
        <w:separator/>
      </w:r>
    </w:p>
  </w:endnote>
  <w:endnote w:type="continuationSeparator" w:id="0">
    <w:p w:rsidR="007927C4" w:rsidRDefault="007927C4" w:rsidP="00B66A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27C4" w:rsidRDefault="007927C4" w:rsidP="00B66AFD">
      <w:r>
        <w:separator/>
      </w:r>
    </w:p>
  </w:footnote>
  <w:footnote w:type="continuationSeparator" w:id="0">
    <w:p w:rsidR="007927C4" w:rsidRDefault="007927C4" w:rsidP="00B66A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AFD" w:rsidRDefault="007927C4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B66AFD" w:rsidRDefault="007927C4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B66AFD" w:rsidRDefault="007927C4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B66AFD" w:rsidRDefault="00B66AFD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FC588A"/>
    <w:multiLevelType w:val="multilevel"/>
    <w:tmpl w:val="057A79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6AFD"/>
    <w:rsid w:val="007927C4"/>
    <w:rsid w:val="00B66AFD"/>
    <w:rsid w:val="00F10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B66AFD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B66AF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B66AF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B66AFD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B66AF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B66AF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B66AFD"/>
  </w:style>
  <w:style w:type="table" w:customStyle="1" w:styleId="TableNormal">
    <w:name w:val="Table Normal"/>
    <w:rsid w:val="00B66AF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B66AFD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B66AF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813</Words>
  <Characters>4392</Characters>
  <Application>Microsoft Office Word</Application>
  <DocSecurity>0</DocSecurity>
  <Lines>36</Lines>
  <Paragraphs>10</Paragraphs>
  <ScaleCrop>false</ScaleCrop>
  <Company/>
  <LinksUpToDate>false</LinksUpToDate>
  <CharactersWithSpaces>5195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2023-07-31T11:59:00Z</dcterms:created>
  <dcterms:modified xsi:type="dcterms:W3CDTF">2023-07-31T11:59:00Z</dcterms:modified>
</cp:coreProperties>
</file>