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0AB" w:rsidRDefault="008D1D40">
      <w:pPr>
        <w:pStyle w:val="normal0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PLL 046/2023</w:t>
      </w:r>
    </w:p>
    <w:p w:rsidR="007850AB" w:rsidRDefault="008D1D40">
      <w:pPr>
        <w:pStyle w:val="normal0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Nº do Processo: 25387</w:t>
      </w:r>
    </w:p>
    <w:p w:rsidR="007850AB" w:rsidRDefault="008D1D40">
      <w:pPr>
        <w:pStyle w:val="normal0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 xml:space="preserve">Requerente: </w:t>
      </w:r>
      <w:proofErr w:type="gramStart"/>
      <w:r>
        <w:rPr>
          <w:rFonts w:ascii="Arial" w:eastAsia="Arial" w:hAnsi="Arial" w:cs="Arial"/>
          <w:b/>
          <w:sz w:val="26"/>
          <w:szCs w:val="26"/>
        </w:rPr>
        <w:t>Ver.</w:t>
      </w:r>
      <w:proofErr w:type="gramEnd"/>
      <w:r>
        <w:rPr>
          <w:rFonts w:ascii="Arial" w:eastAsia="Arial" w:hAnsi="Arial" w:cs="Arial"/>
          <w:b/>
          <w:sz w:val="26"/>
          <w:szCs w:val="26"/>
        </w:rPr>
        <w:t>ª Gabriela Ortiz</w:t>
      </w:r>
    </w:p>
    <w:p w:rsidR="007850AB" w:rsidRDefault="008D1D40">
      <w:pPr>
        <w:pStyle w:val="normal0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Tipo de Proposição: Projeto de Lei do Legislativo (PLL)</w:t>
      </w:r>
    </w:p>
    <w:p w:rsidR="007850AB" w:rsidRDefault="008D1D40">
      <w:pPr>
        <w:pStyle w:val="normal0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Data de Conclusão à Procuradoria: 02/08/2023</w:t>
      </w:r>
    </w:p>
    <w:p w:rsidR="007850AB" w:rsidRDefault="007850AB">
      <w:pPr>
        <w:pStyle w:val="normal0"/>
        <w:rPr>
          <w:rFonts w:ascii="Arial" w:eastAsia="Arial" w:hAnsi="Arial" w:cs="Arial"/>
          <w:sz w:val="26"/>
          <w:szCs w:val="26"/>
        </w:rPr>
      </w:pPr>
    </w:p>
    <w:p w:rsidR="007850AB" w:rsidRDefault="007850AB">
      <w:pPr>
        <w:pStyle w:val="normal0"/>
        <w:rPr>
          <w:rFonts w:ascii="Arial" w:eastAsia="Arial" w:hAnsi="Arial" w:cs="Arial"/>
          <w:sz w:val="26"/>
          <w:szCs w:val="26"/>
        </w:rPr>
      </w:pPr>
    </w:p>
    <w:p w:rsidR="007850AB" w:rsidRDefault="008D1D40">
      <w:pPr>
        <w:pStyle w:val="normal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RELATÓRIO</w:t>
      </w:r>
    </w:p>
    <w:p w:rsidR="007850AB" w:rsidRDefault="007850AB">
      <w:pPr>
        <w:pStyle w:val="normal0"/>
        <w:rPr>
          <w:rFonts w:ascii="Arial" w:eastAsia="Arial" w:hAnsi="Arial" w:cs="Arial"/>
          <w:sz w:val="26"/>
          <w:szCs w:val="26"/>
        </w:rPr>
      </w:pPr>
    </w:p>
    <w:p w:rsidR="007850AB" w:rsidRDefault="008D1D40">
      <w:pPr>
        <w:pStyle w:val="normal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ab/>
      </w:r>
      <w:r>
        <w:rPr>
          <w:rFonts w:ascii="Arial" w:eastAsia="Arial" w:hAnsi="Arial" w:cs="Arial"/>
          <w:sz w:val="26"/>
          <w:szCs w:val="26"/>
        </w:rPr>
        <w:t xml:space="preserve">Versa o expediente sobre proposição subscrita por </w:t>
      </w:r>
      <w:proofErr w:type="gramStart"/>
      <w:r>
        <w:rPr>
          <w:rFonts w:ascii="Arial" w:eastAsia="Arial" w:hAnsi="Arial" w:cs="Arial"/>
          <w:sz w:val="26"/>
          <w:szCs w:val="26"/>
        </w:rPr>
        <w:t>Edil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com assento nesta nobre Casa Legislativa, que solicita aprovação do Colendo Plenário para Projeto de Lei que </w:t>
      </w:r>
      <w:r w:rsidRPr="001F6EE1">
        <w:rPr>
          <w:rFonts w:ascii="Arial" w:eastAsia="Arial" w:hAnsi="Arial" w:cs="Arial"/>
          <w:b/>
          <w:sz w:val="26"/>
          <w:szCs w:val="26"/>
        </w:rPr>
        <w:t>“</w:t>
      </w:r>
      <w:r w:rsidRPr="001F6EE1">
        <w:rPr>
          <w:rFonts w:ascii="Arial" w:eastAsia="Arial" w:hAnsi="Arial" w:cs="Arial"/>
          <w:b/>
          <w:i/>
          <w:sz w:val="26"/>
          <w:szCs w:val="26"/>
        </w:rPr>
        <w:t xml:space="preserve">Institui a Semana de Conscientização do Luto Parental no Calendário de Datas Comemorativas </w:t>
      </w:r>
      <w:r w:rsidRPr="001F6EE1">
        <w:rPr>
          <w:rFonts w:ascii="Arial" w:eastAsia="Arial" w:hAnsi="Arial" w:cs="Arial"/>
          <w:b/>
          <w:i/>
          <w:sz w:val="26"/>
          <w:szCs w:val="26"/>
        </w:rPr>
        <w:t>e de Conscientização do Município em Sapucaia do Sul</w:t>
      </w:r>
      <w:r w:rsidRPr="001F6EE1">
        <w:rPr>
          <w:rFonts w:ascii="Arial" w:eastAsia="Arial" w:hAnsi="Arial" w:cs="Arial"/>
          <w:b/>
          <w:sz w:val="26"/>
          <w:szCs w:val="26"/>
        </w:rPr>
        <w:t>”.</w:t>
      </w:r>
      <w:r>
        <w:rPr>
          <w:rFonts w:ascii="Arial" w:eastAsia="Arial" w:hAnsi="Arial" w:cs="Arial"/>
          <w:sz w:val="26"/>
          <w:szCs w:val="26"/>
        </w:rPr>
        <w:t xml:space="preserve"> Constam dos autos eletrônicos os seguintes documentos:</w:t>
      </w:r>
    </w:p>
    <w:p w:rsidR="007850AB" w:rsidRDefault="007850AB">
      <w:pPr>
        <w:pStyle w:val="normal0"/>
        <w:jc w:val="both"/>
        <w:rPr>
          <w:rFonts w:ascii="Arial" w:eastAsia="Arial" w:hAnsi="Arial" w:cs="Arial"/>
          <w:sz w:val="26"/>
          <w:szCs w:val="26"/>
        </w:rPr>
      </w:pPr>
    </w:p>
    <w:p w:rsidR="007850AB" w:rsidRDefault="008D1D40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ID 61135 (página única);</w:t>
      </w:r>
    </w:p>
    <w:p w:rsidR="007850AB" w:rsidRDefault="008D1D40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ID 61182 (página única).</w:t>
      </w:r>
    </w:p>
    <w:p w:rsidR="007850AB" w:rsidRDefault="007850AB">
      <w:pPr>
        <w:pStyle w:val="normal0"/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</w:p>
    <w:p w:rsidR="007850AB" w:rsidRDefault="007850AB">
      <w:pPr>
        <w:pStyle w:val="normal0"/>
        <w:spacing w:line="360" w:lineRule="auto"/>
        <w:jc w:val="both"/>
        <w:rPr>
          <w:rFonts w:ascii="Arial" w:eastAsia="Arial" w:hAnsi="Arial" w:cs="Arial"/>
          <w:sz w:val="26"/>
          <w:szCs w:val="26"/>
        </w:rPr>
      </w:pPr>
    </w:p>
    <w:p w:rsidR="007850AB" w:rsidRDefault="008D1D40">
      <w:pPr>
        <w:pStyle w:val="normal0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PARECER</w:t>
      </w:r>
      <w:r>
        <w:rPr>
          <w:rFonts w:ascii="Arial" w:eastAsia="Arial" w:hAnsi="Arial" w:cs="Arial"/>
          <w:sz w:val="26"/>
          <w:szCs w:val="26"/>
        </w:rPr>
        <w:t xml:space="preserve"> </w:t>
      </w:r>
    </w:p>
    <w:p w:rsidR="007850AB" w:rsidRDefault="008D1D40">
      <w:pPr>
        <w:pStyle w:val="normal0"/>
        <w:spacing w:before="240" w:after="240" w:line="360" w:lineRule="auto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    </w:t>
      </w:r>
      <w:r>
        <w:rPr>
          <w:rFonts w:ascii="Arial" w:eastAsia="Arial" w:hAnsi="Arial" w:cs="Arial"/>
          <w:sz w:val="26"/>
          <w:szCs w:val="26"/>
        </w:rPr>
        <w:tab/>
        <w:t xml:space="preserve">A fixação de datas comemorativas e eventos públicos em âmbito </w:t>
      </w:r>
      <w:proofErr w:type="gramStart"/>
      <w:r>
        <w:rPr>
          <w:rFonts w:ascii="Arial" w:eastAsia="Arial" w:hAnsi="Arial" w:cs="Arial"/>
          <w:sz w:val="26"/>
          <w:szCs w:val="26"/>
        </w:rPr>
        <w:t>municipal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está i</w:t>
      </w:r>
      <w:r>
        <w:rPr>
          <w:rFonts w:ascii="Arial" w:eastAsia="Arial" w:hAnsi="Arial" w:cs="Arial"/>
          <w:sz w:val="26"/>
          <w:szCs w:val="26"/>
        </w:rPr>
        <w:t>nserida no contexto da autonomia política de que os Municípios dispõem para legislar sobre assuntos de interesse local, e de suplementar a legislação federal e estadual no que couber (art. 30, I e II da CF/88). Na Lei Orgânica Municipal:</w:t>
      </w:r>
    </w:p>
    <w:p w:rsidR="007850AB" w:rsidRDefault="008D1D40">
      <w:pPr>
        <w:pStyle w:val="normal0"/>
        <w:ind w:left="3540"/>
        <w:jc w:val="both"/>
        <w:rPr>
          <w:rFonts w:ascii="Arial" w:eastAsia="Arial" w:hAnsi="Arial" w:cs="Arial"/>
          <w:i/>
          <w:sz w:val="26"/>
          <w:szCs w:val="26"/>
        </w:rPr>
      </w:pPr>
      <w:r>
        <w:rPr>
          <w:rFonts w:ascii="Arial" w:eastAsia="Arial" w:hAnsi="Arial" w:cs="Arial"/>
          <w:i/>
          <w:sz w:val="26"/>
          <w:szCs w:val="26"/>
        </w:rPr>
        <w:t>Art. 7º Ao Municíp</w:t>
      </w:r>
      <w:r>
        <w:rPr>
          <w:rFonts w:ascii="Arial" w:eastAsia="Arial" w:hAnsi="Arial" w:cs="Arial"/>
          <w:i/>
          <w:sz w:val="26"/>
          <w:szCs w:val="26"/>
        </w:rPr>
        <w:t>io compete prover tudo quanto diga respeito ao seu peculiar interesse e ao bem-estar de sua população, cabendo-lhe, privativamente, dentre outras, as seguintes atribuições:</w:t>
      </w:r>
    </w:p>
    <w:p w:rsidR="007850AB" w:rsidRDefault="008D1D40">
      <w:pPr>
        <w:pStyle w:val="normal0"/>
        <w:ind w:left="3540"/>
        <w:jc w:val="both"/>
        <w:rPr>
          <w:rFonts w:ascii="Arial" w:eastAsia="Arial" w:hAnsi="Arial" w:cs="Arial"/>
          <w:i/>
          <w:sz w:val="26"/>
          <w:szCs w:val="26"/>
        </w:rPr>
      </w:pPr>
      <w:r>
        <w:rPr>
          <w:rFonts w:ascii="Arial" w:eastAsia="Arial" w:hAnsi="Arial" w:cs="Arial"/>
          <w:i/>
          <w:sz w:val="26"/>
          <w:szCs w:val="26"/>
        </w:rPr>
        <w:t xml:space="preserve"> </w:t>
      </w:r>
    </w:p>
    <w:p w:rsidR="007850AB" w:rsidRDefault="008D1D40">
      <w:pPr>
        <w:pStyle w:val="normal0"/>
        <w:ind w:left="3540"/>
        <w:jc w:val="both"/>
        <w:rPr>
          <w:rFonts w:ascii="Arial" w:eastAsia="Arial" w:hAnsi="Arial" w:cs="Arial"/>
          <w:i/>
          <w:sz w:val="26"/>
          <w:szCs w:val="26"/>
        </w:rPr>
      </w:pPr>
      <w:r>
        <w:rPr>
          <w:rFonts w:ascii="Arial" w:eastAsia="Arial" w:hAnsi="Arial" w:cs="Arial"/>
          <w:i/>
          <w:sz w:val="26"/>
          <w:szCs w:val="26"/>
        </w:rPr>
        <w:t>I - legislar sobre assuntos de interesse local;</w:t>
      </w:r>
    </w:p>
    <w:p w:rsidR="007850AB" w:rsidRDefault="008D1D40">
      <w:pPr>
        <w:pStyle w:val="normal0"/>
        <w:spacing w:before="240" w:after="2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i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 xml:space="preserve"> </w:t>
      </w:r>
    </w:p>
    <w:p w:rsidR="007850AB" w:rsidRDefault="008D1D40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A respeito do poder de iniciativa parlamentar, os artigos 60, inciso II, alínea “d”, 82, incisos III e VII, ambos da Constituição Estadual, combinados com os artigos 61, §1º, II, “b”, e 84, III, da Constituição Federal, impossibilitam </w:t>
      </w:r>
      <w:r>
        <w:rPr>
          <w:rFonts w:ascii="Arial" w:eastAsia="Arial" w:hAnsi="Arial" w:cs="Arial"/>
          <w:sz w:val="26"/>
          <w:szCs w:val="26"/>
        </w:rPr>
        <w:lastRenderedPageBreak/>
        <w:t>que o Poder Legislati</w:t>
      </w:r>
      <w:r>
        <w:rPr>
          <w:rFonts w:ascii="Arial" w:eastAsia="Arial" w:hAnsi="Arial" w:cs="Arial"/>
          <w:sz w:val="26"/>
          <w:szCs w:val="26"/>
        </w:rPr>
        <w:t>vo instaure processo estabelecendo ou modificando estruturas, atribuições ou funcionamento da administração pública. Ou seja, são hipóteses de iniciativa reservada ao Poder Executivo</w:t>
      </w:r>
      <w:r>
        <w:rPr>
          <w:rFonts w:ascii="Arial" w:eastAsia="Arial" w:hAnsi="Arial" w:cs="Arial"/>
          <w:sz w:val="26"/>
          <w:szCs w:val="26"/>
          <w:vertAlign w:val="superscript"/>
        </w:rPr>
        <w:footnoteReference w:id="1"/>
      </w:r>
      <w:r>
        <w:rPr>
          <w:rFonts w:ascii="Arial" w:eastAsia="Arial" w:hAnsi="Arial" w:cs="Arial"/>
          <w:sz w:val="26"/>
          <w:szCs w:val="26"/>
        </w:rPr>
        <w:t>.</w:t>
      </w:r>
    </w:p>
    <w:p w:rsidR="007850AB" w:rsidRDefault="008D1D40">
      <w:pPr>
        <w:pStyle w:val="normal0"/>
        <w:spacing w:before="240" w:after="160" w:line="360" w:lineRule="auto"/>
        <w:ind w:firstLine="7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No âmbito municipal, as hipóteses de competência privativa do Prefeito </w:t>
      </w:r>
      <w:r>
        <w:rPr>
          <w:rFonts w:ascii="Arial" w:eastAsia="Arial" w:hAnsi="Arial" w:cs="Arial"/>
          <w:sz w:val="26"/>
          <w:szCs w:val="26"/>
        </w:rPr>
        <w:t>são assim definidas pela Lei Orgânica:</w:t>
      </w:r>
    </w:p>
    <w:p w:rsidR="007850AB" w:rsidRDefault="008D1D40">
      <w:pPr>
        <w:pStyle w:val="normal0"/>
        <w:spacing w:after="160"/>
        <w:ind w:left="21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Art. 55 </w:t>
      </w:r>
      <w:proofErr w:type="gramStart"/>
      <w:r>
        <w:rPr>
          <w:rFonts w:ascii="Arial" w:eastAsia="Arial" w:hAnsi="Arial" w:cs="Arial"/>
          <w:sz w:val="26"/>
          <w:szCs w:val="26"/>
        </w:rPr>
        <w:t>Compete,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privativamente ao Prefeito, a iniciativa de projetos de lei que disponham sobre:</w:t>
      </w:r>
    </w:p>
    <w:p w:rsidR="007850AB" w:rsidRDefault="008D1D40">
      <w:pPr>
        <w:pStyle w:val="normal0"/>
        <w:spacing w:after="160"/>
        <w:ind w:left="21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I - criação de cargos, funções ou empregos públicos na administração direta e indireta do Poder Executivo, ou aumento d</w:t>
      </w:r>
      <w:r>
        <w:rPr>
          <w:rFonts w:ascii="Arial" w:eastAsia="Arial" w:hAnsi="Arial" w:cs="Arial"/>
          <w:sz w:val="26"/>
          <w:szCs w:val="26"/>
        </w:rPr>
        <w:t>e sua remuneração;</w:t>
      </w:r>
    </w:p>
    <w:p w:rsidR="007850AB" w:rsidRDefault="008D1D40">
      <w:pPr>
        <w:pStyle w:val="normal0"/>
        <w:spacing w:after="160"/>
        <w:ind w:left="21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II - servidores públicos do Poder Executivo, seu regime jurídico e provimento de cargos;</w:t>
      </w:r>
    </w:p>
    <w:p w:rsidR="007850AB" w:rsidRDefault="008D1D40">
      <w:pPr>
        <w:pStyle w:val="normal0"/>
        <w:spacing w:after="160"/>
        <w:ind w:left="21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III - criação, estruturação e atribuições das Secretarias Municipais e órgãos da Administração Pública Municipal;</w:t>
      </w:r>
    </w:p>
    <w:p w:rsidR="007850AB" w:rsidRDefault="008D1D40">
      <w:pPr>
        <w:pStyle w:val="normal0"/>
        <w:spacing w:after="160"/>
        <w:ind w:left="21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IV - proposições que geram despesa</w:t>
      </w:r>
      <w:r>
        <w:rPr>
          <w:rFonts w:ascii="Arial" w:eastAsia="Arial" w:hAnsi="Arial" w:cs="Arial"/>
          <w:sz w:val="26"/>
          <w:szCs w:val="26"/>
        </w:rPr>
        <w:t>s ou que comprometam receitas do Município.</w:t>
      </w:r>
    </w:p>
    <w:p w:rsidR="007850AB" w:rsidRDefault="007850AB">
      <w:pPr>
        <w:pStyle w:val="normal0"/>
        <w:spacing w:before="240" w:after="240"/>
        <w:ind w:firstLine="700"/>
        <w:jc w:val="both"/>
        <w:rPr>
          <w:rFonts w:ascii="Arial" w:eastAsia="Arial" w:hAnsi="Arial" w:cs="Arial"/>
          <w:sz w:val="26"/>
          <w:szCs w:val="26"/>
        </w:rPr>
      </w:pPr>
    </w:p>
    <w:p w:rsidR="007850AB" w:rsidRPr="001F6EE1" w:rsidRDefault="008D1D40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lastRenderedPageBreak/>
        <w:t xml:space="preserve">Adentrando </w:t>
      </w:r>
      <w:proofErr w:type="gramStart"/>
      <w:r>
        <w:rPr>
          <w:rFonts w:ascii="Arial" w:eastAsia="Arial" w:hAnsi="Arial" w:cs="Arial"/>
          <w:sz w:val="26"/>
          <w:szCs w:val="26"/>
        </w:rPr>
        <w:t>à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 análise dos artigos constantes do projeto de Lei, constatamos que a minuta não visa criar, extinguir ou modificar órgão administrativo, ou, por alto, não trata de conferir nova atribuição a órgão da</w:t>
      </w:r>
      <w:r>
        <w:rPr>
          <w:rFonts w:ascii="Arial" w:eastAsia="Arial" w:hAnsi="Arial" w:cs="Arial"/>
          <w:sz w:val="26"/>
          <w:szCs w:val="26"/>
        </w:rPr>
        <w:t xml:space="preserve"> administração pública, a exigir iniciativa legislativa do Prefeito Municipal. </w:t>
      </w:r>
      <w:r w:rsidRPr="001F6EE1">
        <w:rPr>
          <w:rFonts w:ascii="Arial" w:eastAsia="Arial" w:hAnsi="Arial" w:cs="Arial"/>
          <w:b/>
          <w:sz w:val="26"/>
          <w:szCs w:val="26"/>
        </w:rPr>
        <w:t>Apesar disso, verifica-se que a redação do artigo 4º, ao prever destinação de “recursos financeiros e humanos” para realização das atividades preconizadas, efetivamente invade e</w:t>
      </w:r>
      <w:r w:rsidRPr="001F6EE1">
        <w:rPr>
          <w:rFonts w:ascii="Arial" w:eastAsia="Arial" w:hAnsi="Arial" w:cs="Arial"/>
          <w:b/>
          <w:sz w:val="26"/>
          <w:szCs w:val="26"/>
        </w:rPr>
        <w:t xml:space="preserve">sfera própria do Prefeito Municipal, que no caso, será a </w:t>
      </w:r>
      <w:r w:rsidRPr="001F6EE1">
        <w:rPr>
          <w:rFonts w:ascii="Arial" w:eastAsia="Arial" w:hAnsi="Arial" w:cs="Arial"/>
          <w:b/>
          <w:i/>
          <w:sz w:val="26"/>
          <w:szCs w:val="26"/>
        </w:rPr>
        <w:t>autoridade competente para praticar o ato administrativo concreto de destinar os recursos financeiros e humanos que pertencem à estrutura da administração</w:t>
      </w:r>
      <w:r w:rsidRPr="001F6EE1">
        <w:rPr>
          <w:rFonts w:ascii="Arial" w:eastAsia="Arial" w:hAnsi="Arial" w:cs="Arial"/>
          <w:b/>
          <w:sz w:val="26"/>
          <w:szCs w:val="26"/>
        </w:rPr>
        <w:t>. Quanto a esta disposição, portanto, cabe la</w:t>
      </w:r>
      <w:r w:rsidRPr="001F6EE1">
        <w:rPr>
          <w:rFonts w:ascii="Arial" w:eastAsia="Arial" w:hAnsi="Arial" w:cs="Arial"/>
          <w:b/>
          <w:sz w:val="26"/>
          <w:szCs w:val="26"/>
        </w:rPr>
        <w:t xml:space="preserve">nçar competente </w:t>
      </w:r>
      <w:r w:rsidRPr="001F6EE1">
        <w:rPr>
          <w:rFonts w:ascii="Arial" w:eastAsia="Arial" w:hAnsi="Arial" w:cs="Arial"/>
          <w:b/>
          <w:sz w:val="26"/>
          <w:szCs w:val="26"/>
          <w:u w:val="single"/>
        </w:rPr>
        <w:t>ressalva</w:t>
      </w:r>
      <w:r w:rsidR="001F6EE1">
        <w:rPr>
          <w:rFonts w:ascii="Arial" w:eastAsia="Arial" w:hAnsi="Arial" w:cs="Arial"/>
          <w:b/>
          <w:sz w:val="26"/>
          <w:szCs w:val="26"/>
        </w:rPr>
        <w:t>, sugerindo-se a notificação da autora para eventual retificação do texto ou alteração da proposição para indicação.</w:t>
      </w:r>
    </w:p>
    <w:p w:rsidR="007850AB" w:rsidRDefault="008D1D40">
      <w:pPr>
        <w:pStyle w:val="normal0"/>
        <w:spacing w:before="240" w:after="240" w:line="360" w:lineRule="auto"/>
        <w:ind w:firstLine="72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Por fim, no que se refere à tramitação do processo legislativo, registramos que a deliberação pelo plenário da nobre Casa Legislativa deve ser precedida da manifestação da Comissão de LEGISLAÇÃO E JUSTIÇA, por ser condição de tramitação do processo legisla</w:t>
      </w:r>
      <w:r>
        <w:rPr>
          <w:rFonts w:ascii="Arial" w:eastAsia="Arial" w:hAnsi="Arial" w:cs="Arial"/>
          <w:sz w:val="26"/>
          <w:szCs w:val="26"/>
        </w:rPr>
        <w:t>tivo para todas as proposições em geral:</w:t>
      </w:r>
    </w:p>
    <w:p w:rsidR="007850AB" w:rsidRDefault="008D1D40">
      <w:pPr>
        <w:pStyle w:val="normal0"/>
        <w:spacing w:before="240" w:after="240"/>
        <w:ind w:left="36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Art. 76- Compete à Comissão de Legislação e Justiça manifestar-se sobre todos os assuntos nos aspectos constitucional, redacional e legal e, quando já aprovados pelo Plenário, analisá-los sob os aspectos lógico e gr</w:t>
      </w:r>
      <w:r>
        <w:rPr>
          <w:rFonts w:ascii="Arial" w:eastAsia="Arial" w:hAnsi="Arial" w:cs="Arial"/>
          <w:sz w:val="26"/>
          <w:szCs w:val="26"/>
        </w:rPr>
        <w:t>amatical, de modo a adequar ao bom vernáculo o texto das proposições.</w:t>
      </w:r>
    </w:p>
    <w:p w:rsidR="007850AB" w:rsidRDefault="008D1D40">
      <w:pPr>
        <w:pStyle w:val="normal0"/>
        <w:spacing w:before="240" w:after="240"/>
        <w:ind w:left="36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§ 1º- Salvo expressa disposição em contrário deste Regimento, é obrigatória a audiência da Comissão de Legislação e Justiça em todos os projetos de lei e determinadas matérias que tramit</w:t>
      </w:r>
      <w:r>
        <w:rPr>
          <w:rFonts w:ascii="Arial" w:eastAsia="Arial" w:hAnsi="Arial" w:cs="Arial"/>
          <w:sz w:val="26"/>
          <w:szCs w:val="26"/>
        </w:rPr>
        <w:t>arem pela Câmara.</w:t>
      </w:r>
    </w:p>
    <w:p w:rsidR="007850AB" w:rsidRDefault="008D1D40">
      <w:pPr>
        <w:pStyle w:val="normal0"/>
        <w:spacing w:before="240" w:after="24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</w:t>
      </w:r>
    </w:p>
    <w:p w:rsidR="007850AB" w:rsidRDefault="007850AB">
      <w:pPr>
        <w:pStyle w:val="normal0"/>
        <w:spacing w:before="240" w:after="240"/>
        <w:jc w:val="both"/>
        <w:rPr>
          <w:rFonts w:ascii="Arial" w:eastAsia="Arial" w:hAnsi="Arial" w:cs="Arial"/>
          <w:sz w:val="26"/>
          <w:szCs w:val="26"/>
        </w:rPr>
      </w:pPr>
    </w:p>
    <w:p w:rsidR="007850AB" w:rsidRDefault="007850AB">
      <w:pPr>
        <w:pStyle w:val="normal0"/>
        <w:spacing w:before="240" w:after="240"/>
        <w:jc w:val="both"/>
        <w:rPr>
          <w:rFonts w:ascii="Arial" w:eastAsia="Arial" w:hAnsi="Arial" w:cs="Arial"/>
          <w:sz w:val="26"/>
          <w:szCs w:val="26"/>
        </w:rPr>
      </w:pPr>
    </w:p>
    <w:p w:rsidR="007850AB" w:rsidRDefault="008D1D40" w:rsidP="001F6EE1">
      <w:pPr>
        <w:pStyle w:val="normal0"/>
        <w:spacing w:before="240" w:after="240"/>
        <w:jc w:val="center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CONSIDERAÇÕES FINAIS</w:t>
      </w:r>
    </w:p>
    <w:p w:rsidR="001F6EE1" w:rsidRDefault="008D1D40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Em conformidade com os fundamentos </w:t>
      </w:r>
      <w:proofErr w:type="gramStart"/>
      <w:r>
        <w:rPr>
          <w:rFonts w:ascii="Arial" w:eastAsia="Arial" w:hAnsi="Arial" w:cs="Arial"/>
          <w:sz w:val="26"/>
          <w:szCs w:val="26"/>
        </w:rPr>
        <w:t>normativos e precedente jurisprudencial acima apresentados</w:t>
      </w:r>
      <w:proofErr w:type="gramEnd"/>
      <w:r>
        <w:rPr>
          <w:rFonts w:ascii="Arial" w:eastAsia="Arial" w:hAnsi="Arial" w:cs="Arial"/>
          <w:sz w:val="26"/>
          <w:szCs w:val="26"/>
        </w:rPr>
        <w:t xml:space="preserve">, encaminhamos o expediente para prosseguimento </w:t>
      </w:r>
      <w:r>
        <w:rPr>
          <w:rFonts w:ascii="Arial" w:eastAsia="Arial" w:hAnsi="Arial" w:cs="Arial"/>
          <w:b/>
          <w:sz w:val="26"/>
          <w:szCs w:val="26"/>
          <w:u w:val="single"/>
        </w:rPr>
        <w:t>opinando</w:t>
      </w:r>
      <w:r w:rsidR="001F6EE1">
        <w:rPr>
          <w:rFonts w:ascii="Arial" w:eastAsia="Arial" w:hAnsi="Arial" w:cs="Arial"/>
          <w:b/>
          <w:sz w:val="26"/>
          <w:szCs w:val="26"/>
          <w:u w:val="single"/>
        </w:rPr>
        <w:t>, por ora,</w:t>
      </w:r>
      <w:r>
        <w:rPr>
          <w:rFonts w:ascii="Arial" w:eastAsia="Arial" w:hAnsi="Arial" w:cs="Arial"/>
          <w:b/>
          <w:sz w:val="26"/>
          <w:szCs w:val="26"/>
          <w:u w:val="single"/>
        </w:rPr>
        <w:t xml:space="preserve"> pela viabilidade da tramitação</w:t>
      </w:r>
      <w:r>
        <w:rPr>
          <w:rFonts w:ascii="Arial" w:eastAsia="Arial" w:hAnsi="Arial" w:cs="Arial"/>
          <w:sz w:val="26"/>
          <w:szCs w:val="26"/>
        </w:rPr>
        <w:t>, eis que a criação de datas com</w:t>
      </w:r>
      <w:r>
        <w:rPr>
          <w:rFonts w:ascii="Arial" w:eastAsia="Arial" w:hAnsi="Arial" w:cs="Arial"/>
          <w:sz w:val="26"/>
          <w:szCs w:val="26"/>
        </w:rPr>
        <w:t xml:space="preserve">emorativas no calendário oficial está ao alcance do poder de iniciativa parlamentar, mas </w:t>
      </w:r>
      <w:r>
        <w:rPr>
          <w:rFonts w:ascii="Arial" w:eastAsia="Arial" w:hAnsi="Arial" w:cs="Arial"/>
          <w:b/>
          <w:sz w:val="26"/>
          <w:szCs w:val="26"/>
          <w:u w:val="single"/>
        </w:rPr>
        <w:t>com ressalvas quanto à redação do art. 4º</w:t>
      </w:r>
      <w:r>
        <w:rPr>
          <w:rFonts w:ascii="Arial" w:eastAsia="Arial" w:hAnsi="Arial" w:cs="Arial"/>
          <w:b/>
          <w:sz w:val="26"/>
          <w:szCs w:val="26"/>
        </w:rPr>
        <w:t xml:space="preserve"> </w:t>
      </w:r>
      <w:r>
        <w:rPr>
          <w:rFonts w:ascii="Arial" w:eastAsia="Arial" w:hAnsi="Arial" w:cs="Arial"/>
          <w:sz w:val="26"/>
          <w:szCs w:val="26"/>
        </w:rPr>
        <w:t>por entendermos que tal disposição viola o princípio da separação dos poderes, determinando a prática de ato administrativo c</w:t>
      </w:r>
      <w:r>
        <w:rPr>
          <w:rFonts w:ascii="Arial" w:eastAsia="Arial" w:hAnsi="Arial" w:cs="Arial"/>
          <w:sz w:val="26"/>
          <w:szCs w:val="26"/>
        </w:rPr>
        <w:t xml:space="preserve">oncreto inserido na esfera de competências próprias do Prefeito Municipal (destinação de recursos financeiros e humanos para </w:t>
      </w:r>
      <w:r w:rsidR="001F6EE1">
        <w:rPr>
          <w:rFonts w:ascii="Arial" w:eastAsia="Arial" w:hAnsi="Arial" w:cs="Arial"/>
          <w:sz w:val="26"/>
          <w:szCs w:val="26"/>
        </w:rPr>
        <w:t xml:space="preserve">as finalidades que especifica), </w:t>
      </w:r>
      <w:r w:rsidR="001F6EE1">
        <w:rPr>
          <w:rFonts w:ascii="Arial" w:eastAsia="Arial" w:hAnsi="Arial" w:cs="Arial"/>
          <w:b/>
          <w:sz w:val="26"/>
          <w:szCs w:val="26"/>
        </w:rPr>
        <w:t>sugerindo-se a notificação da autora para eventual retificação do texto ou alteração da proposição para indicação.</w:t>
      </w:r>
    </w:p>
    <w:p w:rsidR="001F6EE1" w:rsidRDefault="008D1D40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Assevera-se, de toda sorte, que o presente parecer tem natureza opinativa e não vincula a decisão d</w:t>
      </w:r>
      <w:r>
        <w:rPr>
          <w:rFonts w:ascii="Arial" w:eastAsia="Arial" w:hAnsi="Arial" w:cs="Arial"/>
          <w:sz w:val="26"/>
          <w:szCs w:val="26"/>
        </w:rPr>
        <w:t xml:space="preserve">as comissões. </w:t>
      </w:r>
    </w:p>
    <w:p w:rsidR="007850AB" w:rsidRDefault="001F6EE1" w:rsidP="001F6EE1">
      <w:pPr>
        <w:pStyle w:val="normal0"/>
        <w:spacing w:before="240" w:after="240" w:line="360" w:lineRule="auto"/>
        <w:ind w:firstLine="7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Encaminho</w:t>
      </w:r>
      <w:r w:rsidR="008D1D40">
        <w:rPr>
          <w:rFonts w:ascii="Arial" w:eastAsia="Arial" w:hAnsi="Arial" w:cs="Arial"/>
          <w:sz w:val="26"/>
          <w:szCs w:val="26"/>
        </w:rPr>
        <w:t xml:space="preserve"> os autos à DIRETORIA LEGISLATIVA para as devidas diligências.</w:t>
      </w:r>
    </w:p>
    <w:p w:rsidR="007850AB" w:rsidRDefault="001F6EE1" w:rsidP="001F6EE1">
      <w:pPr>
        <w:pStyle w:val="normal0"/>
        <w:spacing w:before="240" w:after="240"/>
        <w:ind w:firstLine="700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Parecer exarado em 21</w:t>
      </w:r>
      <w:r w:rsidR="008D1D40">
        <w:rPr>
          <w:rFonts w:ascii="Arial" w:eastAsia="Arial" w:hAnsi="Arial" w:cs="Arial"/>
          <w:sz w:val="26"/>
          <w:szCs w:val="26"/>
        </w:rPr>
        <w:t xml:space="preserve"> de agosto de 2023</w:t>
      </w:r>
      <w:r>
        <w:rPr>
          <w:rFonts w:ascii="Arial" w:eastAsia="Arial" w:hAnsi="Arial" w:cs="Arial"/>
          <w:sz w:val="26"/>
          <w:szCs w:val="26"/>
        </w:rPr>
        <w:t>.</w:t>
      </w:r>
    </w:p>
    <w:p w:rsidR="007850AB" w:rsidRDefault="007850AB" w:rsidP="001F6EE1">
      <w:pPr>
        <w:pStyle w:val="normal0"/>
        <w:jc w:val="center"/>
        <w:rPr>
          <w:rFonts w:ascii="Arial" w:eastAsia="Arial" w:hAnsi="Arial" w:cs="Arial"/>
          <w:sz w:val="26"/>
          <w:szCs w:val="26"/>
        </w:rPr>
      </w:pPr>
    </w:p>
    <w:p w:rsidR="007850AB" w:rsidRDefault="007850AB" w:rsidP="001F6EE1">
      <w:pPr>
        <w:pStyle w:val="normal0"/>
        <w:jc w:val="center"/>
        <w:rPr>
          <w:rFonts w:ascii="Arial" w:eastAsia="Arial" w:hAnsi="Arial" w:cs="Arial"/>
          <w:sz w:val="26"/>
          <w:szCs w:val="26"/>
        </w:rPr>
      </w:pPr>
    </w:p>
    <w:p w:rsidR="007850AB" w:rsidRDefault="008D1D40" w:rsidP="001F6EE1">
      <w:pPr>
        <w:pStyle w:val="normal0"/>
        <w:jc w:val="center"/>
        <w:rPr>
          <w:rFonts w:ascii="Arial" w:eastAsia="Arial" w:hAnsi="Arial" w:cs="Arial"/>
          <w:b/>
          <w:sz w:val="26"/>
          <w:szCs w:val="26"/>
        </w:rPr>
      </w:pPr>
      <w:r>
        <w:rPr>
          <w:rFonts w:ascii="Arial" w:eastAsia="Arial" w:hAnsi="Arial" w:cs="Arial"/>
          <w:b/>
          <w:sz w:val="26"/>
          <w:szCs w:val="26"/>
        </w:rPr>
        <w:t>João Roberto da Fonseca Junior</w:t>
      </w:r>
    </w:p>
    <w:p w:rsidR="007850AB" w:rsidRDefault="008D1D40" w:rsidP="001F6EE1">
      <w:pPr>
        <w:pStyle w:val="normal0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Procurador Chefe</w:t>
      </w:r>
    </w:p>
    <w:p w:rsidR="007850AB" w:rsidRDefault="008D1D40" w:rsidP="001F6EE1">
      <w:pPr>
        <w:pStyle w:val="normal0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>OAB/RS 69.257</w:t>
      </w:r>
    </w:p>
    <w:p w:rsidR="007850AB" w:rsidRDefault="008D1D40">
      <w:pPr>
        <w:pStyle w:val="normal0"/>
        <w:spacing w:before="240" w:after="240"/>
        <w:ind w:firstLine="700"/>
        <w:jc w:val="both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 </w:t>
      </w:r>
    </w:p>
    <w:p w:rsidR="007850AB" w:rsidRDefault="007850AB">
      <w:pPr>
        <w:pStyle w:val="normal0"/>
        <w:jc w:val="right"/>
        <w:rPr>
          <w:rFonts w:ascii="Arial" w:eastAsia="Arial" w:hAnsi="Arial" w:cs="Arial"/>
          <w:sz w:val="26"/>
          <w:szCs w:val="26"/>
        </w:rPr>
      </w:pPr>
    </w:p>
    <w:sectPr w:rsidR="007850AB" w:rsidSect="007850AB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D40" w:rsidRDefault="008D1D40" w:rsidP="007850AB">
      <w:r>
        <w:separator/>
      </w:r>
    </w:p>
  </w:endnote>
  <w:endnote w:type="continuationSeparator" w:id="0">
    <w:p w:rsidR="008D1D40" w:rsidRDefault="008D1D40" w:rsidP="007850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D40" w:rsidRDefault="008D1D40" w:rsidP="007850AB">
      <w:r>
        <w:separator/>
      </w:r>
    </w:p>
  </w:footnote>
  <w:footnote w:type="continuationSeparator" w:id="0">
    <w:p w:rsidR="008D1D40" w:rsidRDefault="008D1D40" w:rsidP="007850AB">
      <w:r>
        <w:continuationSeparator/>
      </w:r>
    </w:p>
  </w:footnote>
  <w:footnote w:id="1"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sz w:val="20"/>
          <w:szCs w:val="20"/>
        </w:rPr>
        <w:t xml:space="preserve"> Art. 60. São de iniciativa privativa do Governador do Estado </w:t>
      </w:r>
      <w:proofErr w:type="gramStart"/>
      <w:r>
        <w:rPr>
          <w:rFonts w:ascii="Arial" w:eastAsia="Arial" w:hAnsi="Arial" w:cs="Arial"/>
          <w:sz w:val="20"/>
          <w:szCs w:val="20"/>
        </w:rPr>
        <w:t>as</w:t>
      </w:r>
      <w:proofErr w:type="gramEnd"/>
      <w:r>
        <w:rPr>
          <w:rFonts w:ascii="Arial" w:eastAsia="Arial" w:hAnsi="Arial" w:cs="Arial"/>
          <w:sz w:val="20"/>
          <w:szCs w:val="20"/>
        </w:rPr>
        <w:t xml:space="preserve"> leis que: (...)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II - disponham sobre: (...)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d) criação, estruturação e atribuições das Secretarias e órgãos da administração pública.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Art. 82. Compete ao Governador, privativamente: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II - exercer, com o auxílio dos Secretários de Estado, a direção superior da administração estadual;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VII - dispor sobre a organização e o funcionamento da administração estadual;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Art. 61. A iniciativa das l</w:t>
      </w:r>
      <w:r>
        <w:rPr>
          <w:rFonts w:ascii="Arial" w:eastAsia="Arial" w:hAnsi="Arial" w:cs="Arial"/>
          <w:sz w:val="20"/>
          <w:szCs w:val="20"/>
        </w:rPr>
        <w:t>eis complementares e ordinárias cabe a qualquer membro ou Comissão da Câmara dos Deputados, do Senado Federal ou do Congresso Nacional, ao Presidente da República, ao Supremo Tribunal Federal, aos Tribunais Superiores, ao Procurador-Geral da República e ao</w:t>
      </w:r>
      <w:r>
        <w:rPr>
          <w:rFonts w:ascii="Arial" w:eastAsia="Arial" w:hAnsi="Arial" w:cs="Arial"/>
          <w:sz w:val="20"/>
          <w:szCs w:val="20"/>
        </w:rPr>
        <w:t>s cidadãos, na forma e nos casos previstos nesta Constituição.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§ 1º São de iniciativa privativa do Presidente da República as leis que: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(...)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II - disponham sobre: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a) criação de cargos, funções ou empregos públicos na administração direta e autárquica ou a</w:t>
      </w:r>
      <w:r>
        <w:rPr>
          <w:rFonts w:ascii="Arial" w:eastAsia="Arial" w:hAnsi="Arial" w:cs="Arial"/>
          <w:sz w:val="20"/>
          <w:szCs w:val="20"/>
        </w:rPr>
        <w:t>umento de sua remuneração;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b) organização administrativa e judiciária, matéria tributária e orçamentária, serviços </w:t>
      </w:r>
      <w:proofErr w:type="gramStart"/>
      <w:r>
        <w:rPr>
          <w:rFonts w:ascii="Arial" w:eastAsia="Arial" w:hAnsi="Arial" w:cs="Arial"/>
          <w:sz w:val="20"/>
          <w:szCs w:val="20"/>
        </w:rPr>
        <w:t>públicos e pessoal da administração dos Territórios</w:t>
      </w:r>
      <w:proofErr w:type="gramEnd"/>
      <w:r>
        <w:rPr>
          <w:rFonts w:ascii="Arial" w:eastAsia="Arial" w:hAnsi="Arial" w:cs="Arial"/>
          <w:sz w:val="20"/>
          <w:szCs w:val="20"/>
        </w:rPr>
        <w:t>;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Art. 84. Compete privativamente ao Presidente da República: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 - nomear e exonerar os M</w:t>
      </w:r>
      <w:r>
        <w:rPr>
          <w:rFonts w:ascii="Arial" w:eastAsia="Arial" w:hAnsi="Arial" w:cs="Arial"/>
          <w:sz w:val="20"/>
          <w:szCs w:val="20"/>
        </w:rPr>
        <w:t>inistros de Estado;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II - exercer, com o auxílio dos Ministros de Estado, a direção superior da administração federal;</w:t>
      </w:r>
    </w:p>
    <w:p w:rsidR="007850AB" w:rsidRDefault="008D1D40">
      <w:pPr>
        <w:pStyle w:val="normal0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III - iniciar o processo legislativo, na forma e nos casos previstos nesta Constituição;</w:t>
      </w:r>
    </w:p>
    <w:p w:rsidR="007850AB" w:rsidRDefault="007850AB">
      <w:pPr>
        <w:pStyle w:val="normal0"/>
        <w:rPr>
          <w:sz w:val="20"/>
          <w:szCs w:val="20"/>
        </w:rPr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50AB" w:rsidRDefault="008D1D40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7850AB" w:rsidRDefault="008D1D40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7850AB" w:rsidRDefault="008D1D40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7850AB" w:rsidRDefault="007850AB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3C7889"/>
    <w:multiLevelType w:val="multilevel"/>
    <w:tmpl w:val="EEC82F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50AB"/>
    <w:rsid w:val="001F6EE1"/>
    <w:rsid w:val="007850AB"/>
    <w:rsid w:val="008D1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7850AB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7850A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7850A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7850AB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7850A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7850A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7850AB"/>
  </w:style>
  <w:style w:type="table" w:customStyle="1" w:styleId="TableNormal">
    <w:name w:val="Table Normal"/>
    <w:rsid w:val="007850A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7850A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7850A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775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2023-08-21T13:52:00Z</dcterms:created>
  <dcterms:modified xsi:type="dcterms:W3CDTF">2023-08-21T13:52:00Z</dcterms:modified>
</cp:coreProperties>
</file>