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DFE" w:rsidRDefault="00E648D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Mensagem nº 57</w:t>
      </w:r>
    </w:p>
    <w:p w:rsidR="008F3DFE" w:rsidRDefault="00E648D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Processo nº 25653</w:t>
      </w:r>
    </w:p>
    <w:p w:rsidR="008F3DFE" w:rsidRDefault="00E648DD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Proponente: Poder Executivo Municipal</w:t>
      </w:r>
    </w:p>
    <w:p w:rsidR="008F3DFE" w:rsidRDefault="00E648DD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Regime de tramitação: </w:t>
      </w:r>
      <w:r>
        <w:rPr>
          <w:rFonts w:ascii="Arial" w:eastAsia="Arial" w:hAnsi="Arial" w:cs="Arial"/>
          <w:sz w:val="32"/>
          <w:szCs w:val="32"/>
        </w:rPr>
        <w:t>Urgência Especial</w:t>
      </w:r>
    </w:p>
    <w:p w:rsidR="008F3DFE" w:rsidRDefault="00E648DD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>
        <w:rPr>
          <w:rFonts w:ascii="Arial" w:eastAsia="Arial" w:hAnsi="Arial" w:cs="Arial"/>
          <w:sz w:val="32"/>
          <w:szCs w:val="32"/>
        </w:rPr>
        <w:t>19/09/2023</w:t>
      </w:r>
    </w:p>
    <w:p w:rsidR="008F3DFE" w:rsidRDefault="008F3DFE">
      <w:pPr>
        <w:pStyle w:val="normal0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8F3DFE" w:rsidRDefault="008F3DFE">
      <w:pPr>
        <w:pStyle w:val="normal0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Trata-se de mensagem de origem do Poder Executivo Municipal, cujo mérito solicita aprovação do Colendo Plenário para Projeto de Lei </w:t>
      </w:r>
      <w:proofErr w:type="gramStart"/>
      <w:r>
        <w:rPr>
          <w:rFonts w:ascii="Arial" w:eastAsia="Arial" w:hAnsi="Arial" w:cs="Arial"/>
          <w:sz w:val="28"/>
          <w:szCs w:val="28"/>
        </w:rPr>
        <w:t>que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“</w:t>
      </w:r>
      <w:r>
        <w:rPr>
          <w:rFonts w:ascii="Arial" w:eastAsia="Arial" w:hAnsi="Arial" w:cs="Arial"/>
          <w:i/>
          <w:sz w:val="28"/>
          <w:szCs w:val="28"/>
        </w:rPr>
        <w:t>ALTERA A LEI Nº. 2.099, DE 06 JULHO DE 1998 QUE ESTABELECE O PLANO DE CARREIRA DO MAGISTÉRIO PÚBLICO DO MUNICÍPIO, INSTITUI O RESPECTIVO QUADRO DE CARGOS E DÁ OUTRAS PROVIDÊNCIAS</w:t>
      </w:r>
      <w:r>
        <w:rPr>
          <w:rFonts w:ascii="Arial" w:eastAsia="Arial" w:hAnsi="Arial" w:cs="Arial"/>
          <w:sz w:val="28"/>
          <w:szCs w:val="28"/>
        </w:rPr>
        <w:t>”. Constam dos autos eletrônicos os seguintes documentos:</w:t>
      </w:r>
    </w:p>
    <w:p w:rsidR="008F3DFE" w:rsidRDefault="008F3DF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64074 (</w:t>
      </w:r>
      <w:proofErr w:type="spellStart"/>
      <w:r>
        <w:rPr>
          <w:rFonts w:ascii="Arial" w:eastAsia="Arial" w:hAnsi="Arial" w:cs="Arial"/>
          <w:sz w:val="28"/>
          <w:szCs w:val="28"/>
        </w:rPr>
        <w:t>pdf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</w:t>
      </w:r>
      <w:proofErr w:type="gramStart"/>
      <w:r>
        <w:rPr>
          <w:rFonts w:ascii="Arial" w:eastAsia="Arial" w:hAnsi="Arial" w:cs="Arial"/>
          <w:sz w:val="28"/>
          <w:szCs w:val="28"/>
        </w:rPr>
        <w:t>7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páginas);</w:t>
      </w:r>
    </w:p>
    <w:p w:rsidR="008F3DFE" w:rsidRDefault="00E648DD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64097 (página única).</w:t>
      </w:r>
    </w:p>
    <w:p w:rsidR="008F3DFE" w:rsidRDefault="008F3DFE">
      <w:pPr>
        <w:pStyle w:val="normal0"/>
        <w:spacing w:before="240" w:after="240" w:line="360" w:lineRule="auto"/>
        <w:jc w:val="both"/>
        <w:rPr>
          <w:rFonts w:ascii="Arial" w:eastAsia="Arial" w:hAnsi="Arial" w:cs="Arial"/>
          <w:b/>
          <w:sz w:val="28"/>
          <w:szCs w:val="28"/>
        </w:rPr>
      </w:pP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8F3DFE" w:rsidRDefault="00E648DD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 matéria tratada na proposição diz respeito à estrutura interna de órgãos do Poder Executivo. A esse respeito, transcrevemos:</w:t>
      </w:r>
    </w:p>
    <w:p w:rsidR="008F3DFE" w:rsidRDefault="00E648DD">
      <w:pPr>
        <w:pStyle w:val="normal0"/>
        <w:spacing w:before="240" w:after="240"/>
        <w:ind w:left="2160"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“Leis de iniciativa exclusiva do prefeito são aquelas em que só a ele cabe o envio do projeto à Câmara. Nessa categoria estão as que disponham sobre a criação, estruturação e atribuição das secretarias, órgãos e entidades da Administração Pública Municipal”. (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Hely</w:t>
      </w:r>
      <w:proofErr w:type="spellEnd"/>
      <w:r>
        <w:rPr>
          <w:rFonts w:ascii="Arial" w:eastAsia="Arial" w:hAnsi="Arial" w:cs="Arial"/>
          <w:i/>
          <w:sz w:val="28"/>
          <w:szCs w:val="28"/>
        </w:rPr>
        <w:t xml:space="preserve"> Lopes Meirelles, in “Direito Municipal Brasileiro”, 17ª edição, Malheiros Editores, 2014, p.760-761</w:t>
      </w:r>
      <w:r>
        <w:rPr>
          <w:rFonts w:ascii="Arial" w:eastAsia="Arial" w:hAnsi="Arial" w:cs="Arial"/>
          <w:sz w:val="28"/>
          <w:szCs w:val="28"/>
        </w:rPr>
        <w:t>).</w:t>
      </w:r>
    </w:p>
    <w:p w:rsidR="008F3DFE" w:rsidRDefault="00E648DD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8F3DFE" w:rsidRDefault="00E648DD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nossa Lei Orgânica Municipal, a questão da iniciativa privativa do Chefe do Executivo é abordada da seguinte forma: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lastRenderedPageBreak/>
        <w:t xml:space="preserve">Art. 55. </w:t>
      </w:r>
      <w:proofErr w:type="gramStart"/>
      <w:r>
        <w:rPr>
          <w:rFonts w:ascii="Arial" w:eastAsia="Arial" w:hAnsi="Arial" w:cs="Arial"/>
          <w:i/>
          <w:sz w:val="28"/>
          <w:szCs w:val="28"/>
        </w:rPr>
        <w:t>Compete,</w:t>
      </w:r>
      <w:proofErr w:type="gramEnd"/>
      <w:r>
        <w:rPr>
          <w:rFonts w:ascii="Arial" w:eastAsia="Arial" w:hAnsi="Arial" w:cs="Arial"/>
          <w:i/>
          <w:sz w:val="28"/>
          <w:szCs w:val="28"/>
        </w:rPr>
        <w:t xml:space="preserve"> privativamente ao Prefeito, a iniciativa de projetos de lei que disponham sobre: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criação de cargos, funções ou empregos públicos na administração direta e indireta do Poder Executivo, ou aumento de sua remuneração;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servidores públicos do Poder Executivo, seu regime jurídico e provimento de cargos;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III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criação, estruturação e atribuições das Secretarias Municipais e órgãos da Administração Pública Municipal;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IV </w:t>
      </w:r>
      <w:r>
        <w:rPr>
          <w:i/>
          <w:sz w:val="28"/>
          <w:szCs w:val="28"/>
        </w:rPr>
        <w:t>‐</w:t>
      </w:r>
      <w:r>
        <w:rPr>
          <w:rFonts w:ascii="Arial" w:eastAsia="Arial" w:hAnsi="Arial" w:cs="Arial"/>
          <w:i/>
          <w:sz w:val="28"/>
          <w:szCs w:val="28"/>
        </w:rPr>
        <w:t xml:space="preserve"> proposições que geram despesas ou que comprometam receitas do Município.</w:t>
      </w: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 xml:space="preserve">O mesmo diploma disciplina, por ocasião das regras insculpidas em seu artigo 36, inciso </w:t>
      </w:r>
      <w:proofErr w:type="gramStart"/>
      <w:r>
        <w:rPr>
          <w:rFonts w:ascii="Arial" w:eastAsia="Arial" w:hAnsi="Arial" w:cs="Arial"/>
          <w:sz w:val="28"/>
          <w:szCs w:val="28"/>
        </w:rPr>
        <w:t>VI</w:t>
      </w:r>
      <w:proofErr w:type="gramEnd"/>
      <w:r>
        <w:rPr>
          <w:rFonts w:ascii="Arial" w:eastAsia="Arial" w:hAnsi="Arial" w:cs="Arial"/>
          <w:sz w:val="28"/>
          <w:szCs w:val="28"/>
        </w:rPr>
        <w:t>, a atribuição institucional da Casa Legislativa ao deliberar sobre cargos e funções na Administração Pública Municipal: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36. Compete à Câmara Municipal deliberar, com a sanção do Prefeito, sobre todas as matérias da competência do Município, especialmente sobre: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(...)</w:t>
      </w:r>
    </w:p>
    <w:p w:rsidR="008F3DFE" w:rsidRDefault="00E648DD">
      <w:pPr>
        <w:pStyle w:val="normal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proofErr w:type="gramStart"/>
      <w:r>
        <w:rPr>
          <w:rFonts w:ascii="Arial" w:eastAsia="Arial" w:hAnsi="Arial" w:cs="Arial"/>
          <w:i/>
          <w:sz w:val="28"/>
          <w:szCs w:val="28"/>
        </w:rPr>
        <w:t>VI - criação, classificação e extinção de cargos, empregos e funções públicas municipais na administração direta e indireta, fixando os respectivos vencimentos observando os limites e orçamentos anuais, e os valores máximos das remunerações conforme estabelecido na Constituição Federal e na Lei de Responsabilidade Fiscal”</w:t>
      </w:r>
      <w:proofErr w:type="gramEnd"/>
      <w:r>
        <w:rPr>
          <w:rFonts w:ascii="Arial" w:eastAsia="Arial" w:hAnsi="Arial" w:cs="Arial"/>
          <w:i/>
          <w:sz w:val="28"/>
          <w:szCs w:val="28"/>
        </w:rPr>
        <w:t>;</w:t>
      </w: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 xml:space="preserve">Adentrando ao mérito da proposição, verifica-se que versa sobre modificação e adequação de normas, critérios e procedimentos relativos </w:t>
      </w:r>
      <w:r>
        <w:rPr>
          <w:rFonts w:ascii="Arial" w:eastAsia="Arial" w:hAnsi="Arial" w:cs="Arial"/>
          <w:sz w:val="28"/>
          <w:szCs w:val="28"/>
        </w:rPr>
        <w:lastRenderedPageBreak/>
        <w:t>ao regime suplementar de professores e especialistas do quadro efetivo da rede de ensino público municipal, bem como aos seus afastamentos por tempo determinado, ao cumprimento da sua carga horária e às atividades educacionais que realizam em projetos e programas demandados pelo Governo Federal nessa área de atuação do poder público. O projeto, portanto, está ao abrigo da competência e reserva de iniciativa do Chefe do Poder Executivo.</w:t>
      </w: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 xml:space="preserve">No que se refere propriamente às despesas criadas pela proposição, a natureza deste tipo projeto determina que </w:t>
      </w:r>
      <w:proofErr w:type="gramStart"/>
      <w:r>
        <w:rPr>
          <w:rFonts w:ascii="Arial" w:eastAsia="Arial" w:hAnsi="Arial" w:cs="Arial"/>
          <w:sz w:val="28"/>
          <w:szCs w:val="28"/>
        </w:rPr>
        <w:t>deve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à vista do impacto-orçamentário e declaração de adequação orçamentária subscrita pelo ordenador de despesas (regras contidas no artigo 16 e 17, ambos da Lei Complementar n° 101/2000), </w:t>
      </w:r>
      <w:r>
        <w:rPr>
          <w:rFonts w:ascii="Arial" w:eastAsia="Arial" w:hAnsi="Arial" w:cs="Arial"/>
          <w:i/>
          <w:sz w:val="28"/>
          <w:szCs w:val="28"/>
        </w:rPr>
        <w:t xml:space="preserve">in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verbis</w:t>
      </w:r>
      <w:proofErr w:type="spellEnd"/>
      <w:r>
        <w:rPr>
          <w:rFonts w:ascii="Arial" w:eastAsia="Arial" w:hAnsi="Arial" w:cs="Arial"/>
          <w:sz w:val="28"/>
          <w:szCs w:val="28"/>
        </w:rPr>
        <w:t>: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16. A criação, expansão ou aperfeiçoamento de ação governamental que acarrete aumento da despesa será acompanhado de: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I - estimativa do impacto orçamentário-financeiro no exercício em que deva entrar em vigor e nos dois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subseqüentes</w:t>
      </w:r>
      <w:proofErr w:type="spellEnd"/>
      <w:r>
        <w:rPr>
          <w:rFonts w:ascii="Arial" w:eastAsia="Arial" w:hAnsi="Arial" w:cs="Arial"/>
          <w:i/>
          <w:sz w:val="28"/>
          <w:szCs w:val="28"/>
        </w:rPr>
        <w:t>;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II - declaração do ordenador da despesa de que o aumento tem adequação orçamentária e financeira com a lei orçamentária anual e compatibilidade com o plano plurianual e com a lei de diretrizes orçamentárias.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17. Considera-se obrigatória de caráter continuado a despesa corrente derivada de lei, medida provisória ou ato administrativo normativo que fixem para o ente a obrigação legal de sua execução por um período superior a dois exercícios.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§ 1o Os atos que criarem ou aumentarem despesa de que trata o caput deverão ser instruídos com a estimativa prevista no inciso I do art. 16 e demonstrar a origem dos recursos para seu custeio.</w:t>
      </w:r>
    </w:p>
    <w:p w:rsidR="008F3DFE" w:rsidRDefault="00E648DD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A respeito da questão orçamentária, verifica-se que os autos vieram instruídos com competente estimativa de impacto financeiro orçamentário (</w:t>
      </w:r>
      <w:proofErr w:type="spellStart"/>
      <w:r>
        <w:rPr>
          <w:rFonts w:ascii="Arial" w:eastAsia="Arial" w:hAnsi="Arial" w:cs="Arial"/>
          <w:sz w:val="28"/>
          <w:szCs w:val="28"/>
        </w:rPr>
        <w:t>doc</w:t>
      </w:r>
      <w:proofErr w:type="spellEnd"/>
      <w:r>
        <w:rPr>
          <w:rFonts w:ascii="Arial" w:eastAsia="Arial" w:hAnsi="Arial" w:cs="Arial"/>
          <w:sz w:val="28"/>
          <w:szCs w:val="28"/>
        </w:rPr>
        <w:t>. ID 64074, p.7), restando atendidos os seus requisitos.</w:t>
      </w:r>
    </w:p>
    <w:p w:rsidR="008F3DFE" w:rsidRDefault="00E648DD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>Finalmente, registramos que, anteriormente à deliberação pelo plenário da nobre Casa Legislativa, deve haver manifestação das seguintes comissões permanentes:</w:t>
      </w:r>
    </w:p>
    <w:p w:rsidR="008F3DFE" w:rsidRDefault="00E648D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a) COMISSÃO DE LEGISLAÇÃO E JUSTIÇA, por ser condição de tramitação do processo legislativo para todas as proposições em geral, e especificamente no que se refere a disposições que alteram a estrutura administrativa do Município:</w:t>
      </w:r>
    </w:p>
    <w:p w:rsidR="008F3DFE" w:rsidRDefault="008F3DF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§ 1º- </w:t>
      </w:r>
      <w:r>
        <w:rPr>
          <w:rFonts w:ascii="Arial" w:eastAsia="Arial" w:hAnsi="Arial" w:cs="Arial"/>
          <w:b/>
          <w:i/>
          <w:sz w:val="28"/>
          <w:szCs w:val="28"/>
        </w:rPr>
        <w:t>Salvo expressa disposição em contrário deste Regimento, é obrigatória a audiência da Comissão de Legislação e Justiça em todos os projetos de lei e determinadas matérias que tramitarem pela Câmara</w:t>
      </w:r>
      <w:r>
        <w:rPr>
          <w:rFonts w:ascii="Arial" w:eastAsia="Arial" w:hAnsi="Arial" w:cs="Arial"/>
          <w:i/>
          <w:sz w:val="28"/>
          <w:szCs w:val="28"/>
        </w:rPr>
        <w:t>.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(...)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8F3DFE" w:rsidRDefault="00E648DD">
      <w:pPr>
        <w:pStyle w:val="normal0"/>
        <w:ind w:left="2100"/>
        <w:jc w:val="both"/>
        <w:rPr>
          <w:rFonts w:ascii="Arial" w:eastAsia="Arial" w:hAnsi="Arial" w:cs="Arial"/>
          <w:b/>
          <w:i/>
          <w:sz w:val="28"/>
          <w:szCs w:val="28"/>
        </w:rPr>
      </w:pPr>
      <w:r>
        <w:rPr>
          <w:rFonts w:ascii="Arial" w:eastAsia="Arial" w:hAnsi="Arial" w:cs="Arial"/>
          <w:b/>
          <w:i/>
          <w:sz w:val="28"/>
          <w:szCs w:val="28"/>
        </w:rPr>
        <w:t>I - organização administrativa da Prefeitura e Câmara;</w:t>
      </w:r>
    </w:p>
    <w:p w:rsidR="008F3DFE" w:rsidRDefault="008F3DFE">
      <w:pPr>
        <w:pStyle w:val="normal0"/>
        <w:jc w:val="both"/>
        <w:rPr>
          <w:rFonts w:ascii="Arial" w:eastAsia="Arial" w:hAnsi="Arial" w:cs="Arial"/>
          <w:sz w:val="28"/>
          <w:szCs w:val="28"/>
          <w:u w:val="single"/>
        </w:rPr>
      </w:pPr>
    </w:p>
    <w:p w:rsidR="008F3DFE" w:rsidRDefault="008F3DF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FINANÇAS E ORÇAMENTO, por competência específica, eis que a proposição gera efeitos sobre as despesas do </w:t>
      </w:r>
      <w:proofErr w:type="gramStart"/>
      <w:r>
        <w:rPr>
          <w:rFonts w:ascii="Arial" w:eastAsia="Arial" w:hAnsi="Arial" w:cs="Arial"/>
          <w:sz w:val="28"/>
          <w:szCs w:val="28"/>
        </w:rPr>
        <w:t>Município</w:t>
      </w:r>
      <w:proofErr w:type="gramEnd"/>
    </w:p>
    <w:p w:rsidR="008F3DFE" w:rsidRDefault="008F3DF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Art. 77- Compete à Comissão de Finanças e Orçamento opinar obrigatoriamente sobre todas as matérias de caráter financeiro, e especialmente quando for o caso de: (...) IV - proposições referentes a matérias tributárias; abertura de créditos; empréstimos públicos e as que, </w:t>
      </w:r>
      <w:r>
        <w:rPr>
          <w:rFonts w:ascii="Arial" w:eastAsia="Arial" w:hAnsi="Arial" w:cs="Arial"/>
          <w:b/>
          <w:sz w:val="28"/>
          <w:szCs w:val="28"/>
        </w:rPr>
        <w:t>direta ou indiretamente, alterem a despesa ou a receita do Município, acarretem responsabilidades ao Erário Municipal</w:t>
      </w:r>
      <w:r>
        <w:rPr>
          <w:rFonts w:ascii="Arial" w:eastAsia="Arial" w:hAnsi="Arial" w:cs="Arial"/>
          <w:sz w:val="28"/>
          <w:szCs w:val="28"/>
        </w:rPr>
        <w:t xml:space="preserve"> ou interessem ao crédito e ao Patrimônio Público Municipal;</w:t>
      </w:r>
    </w:p>
    <w:p w:rsidR="008F3DFE" w:rsidRDefault="008F3DF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8F3DF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c) EDUCAÇÃO, eis que a alteração pretendida diz respeito à estrutura da Rede de Ensino Municipal:</w:t>
      </w:r>
    </w:p>
    <w:p w:rsidR="008F3DFE" w:rsidRDefault="008F3DFE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</w:t>
      </w:r>
      <w:proofErr w:type="gramStart"/>
      <w:r>
        <w:rPr>
          <w:rFonts w:ascii="Arial" w:eastAsia="Arial" w:hAnsi="Arial" w:cs="Arial"/>
          <w:sz w:val="28"/>
          <w:szCs w:val="28"/>
        </w:rPr>
        <w:t>Educação 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Saúde e Ação Social e Meio Ambiente são atribuídos às Comissões relacionadas neste Artigo: (...) </w:t>
      </w:r>
    </w:p>
    <w:p w:rsidR="008F3DFE" w:rsidRDefault="00E648DD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– A Comissão de Educação e Cultura apreciará obrigatoriamente as proposições que tenham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  </w:t>
      </w:r>
      <w:proofErr w:type="gramEnd"/>
      <w:r>
        <w:rPr>
          <w:rFonts w:ascii="Arial" w:eastAsia="Arial" w:hAnsi="Arial" w:cs="Arial"/>
          <w:sz w:val="28"/>
          <w:szCs w:val="28"/>
        </w:rPr>
        <w:t>por objetivo: b) reorganização administrativa da Prefeitura nas áreas de Educação;</w:t>
      </w:r>
    </w:p>
    <w:p w:rsidR="008F3DFE" w:rsidRDefault="00E648DD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(...)</w:t>
      </w:r>
    </w:p>
    <w:p w:rsidR="008F3DFE" w:rsidRDefault="00E648DD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À Comissão de Educação e Cultura compete manifestar-se em todos os projetos e matérias que versem sobre assuntos educacionais, artísticos, inclusive patrimônio histórico e turístico;</w:t>
      </w:r>
    </w:p>
    <w:p w:rsidR="008F3DFE" w:rsidRDefault="008F3DFE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 w:rsidP="002614C2">
      <w:pPr>
        <w:pStyle w:val="normal0"/>
        <w:spacing w:before="240" w:after="240" w:line="36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2614C2" w:rsidRDefault="00E648DD" w:rsidP="00574A1A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apresentados acima, encaminhamos o expediente ao prosseguimento opinando pela </w:t>
      </w:r>
      <w:r>
        <w:rPr>
          <w:rFonts w:ascii="Arial" w:eastAsia="Arial" w:hAnsi="Arial" w:cs="Arial"/>
          <w:b/>
          <w:sz w:val="28"/>
          <w:szCs w:val="28"/>
          <w:u w:val="single"/>
        </w:rPr>
        <w:t>viabilidade da tramitação</w:t>
      </w:r>
      <w:r>
        <w:rPr>
          <w:rFonts w:ascii="Arial" w:eastAsia="Arial" w:hAnsi="Arial" w:cs="Arial"/>
          <w:sz w:val="28"/>
          <w:szCs w:val="28"/>
        </w:rPr>
        <w:t>, eis que o projeto diz respeito a atos típicos de gestão dos serviços públicos de competência do Poder Executivo</w:t>
      </w:r>
      <w:r w:rsidR="00574A1A">
        <w:rPr>
          <w:rFonts w:ascii="Arial" w:eastAsia="Arial" w:hAnsi="Arial" w:cs="Arial"/>
          <w:sz w:val="28"/>
          <w:szCs w:val="28"/>
        </w:rPr>
        <w:t xml:space="preserve">. </w:t>
      </w:r>
      <w:r>
        <w:rPr>
          <w:rFonts w:ascii="Arial" w:eastAsia="Arial" w:hAnsi="Arial" w:cs="Arial"/>
          <w:sz w:val="28"/>
          <w:szCs w:val="28"/>
        </w:rPr>
        <w:t xml:space="preserve">Destacamos, como de costume, que o presente parecer tem natureza opinativa e não vincula a decisão das comissões. </w:t>
      </w:r>
    </w:p>
    <w:p w:rsidR="008F3DFE" w:rsidRDefault="002614C2" w:rsidP="00574A1A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E</w:t>
      </w:r>
      <w:r w:rsidR="00E648DD">
        <w:rPr>
          <w:rFonts w:ascii="Arial" w:eastAsia="Arial" w:hAnsi="Arial" w:cs="Arial"/>
          <w:sz w:val="28"/>
          <w:szCs w:val="28"/>
        </w:rPr>
        <w:t>ncaminh</w:t>
      </w:r>
      <w:r>
        <w:rPr>
          <w:rFonts w:ascii="Arial" w:eastAsia="Arial" w:hAnsi="Arial" w:cs="Arial"/>
          <w:sz w:val="28"/>
          <w:szCs w:val="28"/>
        </w:rPr>
        <w:t>o</w:t>
      </w:r>
      <w:r w:rsidR="00E648DD">
        <w:rPr>
          <w:rFonts w:ascii="Arial" w:eastAsia="Arial" w:hAnsi="Arial" w:cs="Arial"/>
          <w:sz w:val="28"/>
          <w:szCs w:val="28"/>
        </w:rPr>
        <w:t xml:space="preserve"> os autos à DIRETORIA LEGISLATIVA para as devidas diligências.</w:t>
      </w:r>
    </w:p>
    <w:p w:rsidR="008F3DFE" w:rsidRDefault="008F3DFE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8F3DFE" w:rsidRDefault="00E648DD" w:rsidP="002614C2">
      <w:pPr>
        <w:pStyle w:val="normal0"/>
        <w:spacing w:line="360" w:lineRule="auto"/>
        <w:ind w:firstLine="708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21 de setembro de 2023</w:t>
      </w:r>
    </w:p>
    <w:p w:rsidR="008F3DFE" w:rsidRDefault="008F3DFE" w:rsidP="002614C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</w:p>
    <w:p w:rsidR="008F3DFE" w:rsidRDefault="00E648DD" w:rsidP="002614C2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8F3DFE" w:rsidRDefault="00E648DD" w:rsidP="002614C2">
      <w:pPr>
        <w:pStyle w:val="normal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8F3DFE" w:rsidRDefault="00E648DD" w:rsidP="002614C2">
      <w:pPr>
        <w:pStyle w:val="normal0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8F3DFE" w:rsidSect="008F3DFE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810" w:rsidRDefault="001A1810" w:rsidP="008F3DFE">
      <w:r>
        <w:separator/>
      </w:r>
    </w:p>
  </w:endnote>
  <w:endnote w:type="continuationSeparator" w:id="0">
    <w:p w:rsidR="001A1810" w:rsidRDefault="001A1810" w:rsidP="008F3D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810" w:rsidRDefault="001A1810" w:rsidP="008F3DFE">
      <w:r>
        <w:separator/>
      </w:r>
    </w:p>
  </w:footnote>
  <w:footnote w:type="continuationSeparator" w:id="0">
    <w:p w:rsidR="001A1810" w:rsidRDefault="001A1810" w:rsidP="008F3D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DFE" w:rsidRDefault="00E648DD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8F3DFE" w:rsidRDefault="00E648DD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8F3DFE" w:rsidRDefault="00E648DD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8F3DFE" w:rsidRDefault="008F3DFE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8E6C76"/>
    <w:multiLevelType w:val="multilevel"/>
    <w:tmpl w:val="952C2C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3DFE"/>
    <w:rsid w:val="001A1810"/>
    <w:rsid w:val="002614C2"/>
    <w:rsid w:val="0045773E"/>
    <w:rsid w:val="00574A1A"/>
    <w:rsid w:val="008F3DFE"/>
    <w:rsid w:val="00E64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73E"/>
  </w:style>
  <w:style w:type="paragraph" w:styleId="Ttulo1">
    <w:name w:val="heading 1"/>
    <w:basedOn w:val="normal0"/>
    <w:next w:val="normal0"/>
    <w:rsid w:val="008F3DFE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8F3DF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8F3DF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8F3DFE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8F3DF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8F3DF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8F3DFE"/>
  </w:style>
  <w:style w:type="table" w:customStyle="1" w:styleId="TableNormal">
    <w:name w:val="Table Normal"/>
    <w:rsid w:val="008F3DF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8F3DF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8F3DF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1149</Words>
  <Characters>6208</Characters>
  <Application>Microsoft Office Word</Application>
  <DocSecurity>0</DocSecurity>
  <Lines>51</Lines>
  <Paragraphs>14</Paragraphs>
  <ScaleCrop>false</ScaleCrop>
  <Company/>
  <LinksUpToDate>false</LinksUpToDate>
  <CharactersWithSpaces>7343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2023-09-21T16:24:00Z</dcterms:created>
  <dcterms:modified xsi:type="dcterms:W3CDTF">2023-09-21T16:24:00Z</dcterms:modified>
</cp:coreProperties>
</file>