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74F" w:rsidRDefault="0092612B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Mensagem nº 30/2025</w:t>
      </w:r>
    </w:p>
    <w:p w:rsidR="00DD674F" w:rsidRDefault="0092612B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Processo nº 27941</w:t>
      </w:r>
    </w:p>
    <w:p w:rsidR="00DD674F" w:rsidRDefault="0092612B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Proponente: Poder Executivo Municipal</w:t>
      </w:r>
    </w:p>
    <w:p w:rsidR="00DD674F" w:rsidRDefault="0092612B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Regime de tramitação: </w:t>
      </w:r>
      <w:r>
        <w:rPr>
          <w:rFonts w:ascii="Arial" w:eastAsia="Arial" w:hAnsi="Arial" w:cs="Arial"/>
          <w:sz w:val="32"/>
          <w:szCs w:val="32"/>
        </w:rPr>
        <w:t>Normal</w:t>
      </w:r>
    </w:p>
    <w:p w:rsidR="00DD674F" w:rsidRDefault="0092612B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Data de Conclusão à Procuradoria: </w:t>
      </w:r>
      <w:r>
        <w:rPr>
          <w:rFonts w:ascii="Arial" w:eastAsia="Arial" w:hAnsi="Arial" w:cs="Arial"/>
          <w:sz w:val="32"/>
          <w:szCs w:val="32"/>
        </w:rPr>
        <w:t>13/05/2025</w:t>
      </w:r>
      <w:r>
        <w:rPr>
          <w:rFonts w:ascii="Arial" w:eastAsia="Arial" w:hAnsi="Arial" w:cs="Arial"/>
          <w:sz w:val="32"/>
          <w:szCs w:val="32"/>
        </w:rPr>
        <w:tab/>
      </w:r>
    </w:p>
    <w:p w:rsidR="00DD674F" w:rsidRDefault="00DD674F">
      <w:pPr>
        <w:pStyle w:val="normal0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DD674F" w:rsidRDefault="00DD674F">
      <w:pPr>
        <w:pStyle w:val="normal0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>Trata-se de mensagem de origem do Poder Executivo Municipal, cujo mérito solicita aprovação do Colendo Plenário para Projeto de Lei que “</w:t>
      </w:r>
      <w:r>
        <w:rPr>
          <w:rFonts w:ascii="Arial" w:eastAsia="Arial" w:hAnsi="Arial" w:cs="Arial"/>
          <w:i/>
          <w:sz w:val="28"/>
          <w:szCs w:val="28"/>
        </w:rPr>
        <w:t>DISPÕE SOBRE O ESTATUTO DA GUARDA MUNICIPAL DE SAPUCAIA DO SUL E DÁ OUTRAS PROVIDÊNCIAS</w:t>
      </w:r>
      <w:r>
        <w:rPr>
          <w:rFonts w:ascii="Arial" w:eastAsia="Arial" w:hAnsi="Arial" w:cs="Arial"/>
          <w:sz w:val="28"/>
          <w:szCs w:val="28"/>
        </w:rPr>
        <w:t>”. Constam dos autos eletrônicos</w:t>
      </w:r>
      <w:r>
        <w:rPr>
          <w:rFonts w:ascii="Arial" w:eastAsia="Arial" w:hAnsi="Arial" w:cs="Arial"/>
          <w:sz w:val="28"/>
          <w:szCs w:val="28"/>
        </w:rPr>
        <w:t xml:space="preserve"> os seguintes documentos: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86533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>, 72 páginas);</w:t>
      </w:r>
    </w:p>
    <w:p w:rsidR="00DD674F" w:rsidRDefault="0092612B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86557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>, 10 páginas);</w:t>
      </w:r>
    </w:p>
    <w:p w:rsidR="00DD674F" w:rsidRDefault="0092612B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86770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1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página);</w:t>
      </w:r>
    </w:p>
    <w:p w:rsidR="00DD674F" w:rsidRDefault="0092612B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86771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>, 72 páginas);</w:t>
      </w:r>
    </w:p>
    <w:p w:rsidR="00DD674F" w:rsidRDefault="00D15765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86772 (</w:t>
      </w:r>
      <w:proofErr w:type="spellStart"/>
      <w:r>
        <w:rPr>
          <w:rFonts w:ascii="Arial" w:eastAsia="Arial" w:hAnsi="Arial" w:cs="Arial"/>
          <w:sz w:val="28"/>
          <w:szCs w:val="28"/>
        </w:rPr>
        <w:t>docx</w:t>
      </w:r>
      <w:proofErr w:type="spellEnd"/>
      <w:r>
        <w:rPr>
          <w:rFonts w:ascii="Arial" w:eastAsia="Arial" w:hAnsi="Arial" w:cs="Arial"/>
          <w:sz w:val="28"/>
          <w:szCs w:val="28"/>
        </w:rPr>
        <w:t>, 72 páginas);</w:t>
      </w:r>
    </w:p>
    <w:p w:rsidR="00D15765" w:rsidRDefault="00D15765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86888 (</w:t>
      </w:r>
      <w:proofErr w:type="spellStart"/>
      <w:r>
        <w:rPr>
          <w:rFonts w:ascii="Arial" w:eastAsia="Arial" w:hAnsi="Arial" w:cs="Arial"/>
          <w:sz w:val="28"/>
          <w:szCs w:val="28"/>
        </w:rPr>
        <w:t>docx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1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página);</w:t>
      </w:r>
    </w:p>
    <w:p w:rsidR="00D15765" w:rsidRDefault="00D15765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86889 (</w:t>
      </w:r>
      <w:proofErr w:type="spellStart"/>
      <w:r>
        <w:rPr>
          <w:rFonts w:ascii="Arial" w:eastAsia="Arial" w:hAnsi="Arial" w:cs="Arial"/>
          <w:sz w:val="28"/>
          <w:szCs w:val="28"/>
        </w:rPr>
        <w:t>docx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3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páginas).</w:t>
      </w:r>
    </w:p>
    <w:p w:rsidR="00DD674F" w:rsidRDefault="00DD674F">
      <w:pPr>
        <w:pStyle w:val="normal0"/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 projeto versa sobre matéria de competência do Município em face do interesse </w:t>
      </w:r>
      <w:r>
        <w:rPr>
          <w:rFonts w:ascii="Arial" w:eastAsia="Arial" w:hAnsi="Arial" w:cs="Arial"/>
          <w:sz w:val="28"/>
          <w:szCs w:val="28"/>
        </w:rPr>
        <w:t>local, encontrando amparo na Constituição da República (artigo 30, inciso I) e na Lei Orgânica Municipal (artigo 7º, incisos I e XI).</w:t>
      </w:r>
    </w:p>
    <w:p w:rsidR="00DD674F" w:rsidRDefault="00DD674F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CONSTITUIÇÃO FEDERAL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30. Compete aos Municípios: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legislar sobre assuntos de interesse local;</w:t>
      </w:r>
    </w:p>
    <w:p w:rsidR="00DD674F" w:rsidRDefault="00DD674F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LEI ORGÂNICA MUNICIPAL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I - legislar sobre assuntos de interesse l</w:t>
      </w:r>
      <w:r>
        <w:rPr>
          <w:rFonts w:ascii="Arial" w:eastAsia="Arial" w:hAnsi="Arial" w:cs="Arial"/>
          <w:sz w:val="28"/>
          <w:szCs w:val="28"/>
        </w:rPr>
        <w:t>ocal;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(...)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XI - organizar o quadro e estabelecer o regime dos servidores públicos;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Quanto ao poder de iniciativa, a proposição em comento está inserida no contexto daquelas que são de responsabilidade exclusiva do prefeito (apenas ele tem o dever/poder </w:t>
      </w:r>
      <w:r>
        <w:rPr>
          <w:rFonts w:ascii="Arial" w:eastAsia="Arial" w:hAnsi="Arial" w:cs="Arial"/>
          <w:sz w:val="28"/>
          <w:szCs w:val="28"/>
        </w:rPr>
        <w:t>de encaminhar o projeto para a Câmara Municipal, dando início ao processo legislativo). Dentro desse conjunto de matérias, estão aquelas que tratam dos servidores do Poder Executivo, seu regime jurídico e provimento de cargos: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55. </w:t>
      </w:r>
      <w:proofErr w:type="gramStart"/>
      <w:r>
        <w:rPr>
          <w:rFonts w:ascii="Arial" w:eastAsia="Arial" w:hAnsi="Arial" w:cs="Arial"/>
          <w:sz w:val="28"/>
          <w:szCs w:val="28"/>
        </w:rPr>
        <w:t>Compete,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privativam</w:t>
      </w:r>
      <w:r>
        <w:rPr>
          <w:rFonts w:ascii="Arial" w:eastAsia="Arial" w:hAnsi="Arial" w:cs="Arial"/>
          <w:sz w:val="28"/>
          <w:szCs w:val="28"/>
        </w:rPr>
        <w:t xml:space="preserve">ente ao Prefeito, a iniciativa de projetos de lei que disponham sobre: (...) 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II ‐ servidores públicos do Poder Executivo, seu regime jurídico e provimento de cargos;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  </w:t>
      </w: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O mesmo diploma disciplina, por ocasião das regras insculpidas em seu artigo 36, inciso </w:t>
      </w:r>
      <w:proofErr w:type="gramStart"/>
      <w:r>
        <w:rPr>
          <w:rFonts w:ascii="Arial" w:eastAsia="Arial" w:hAnsi="Arial" w:cs="Arial"/>
          <w:sz w:val="28"/>
          <w:szCs w:val="28"/>
        </w:rPr>
        <w:t>VI</w:t>
      </w:r>
      <w:proofErr w:type="gramEnd"/>
      <w:r>
        <w:rPr>
          <w:rFonts w:ascii="Arial" w:eastAsia="Arial" w:hAnsi="Arial" w:cs="Arial"/>
          <w:sz w:val="28"/>
          <w:szCs w:val="28"/>
        </w:rPr>
        <w:t>, a atribuição institucional da Casa Legislativa ao deliberar sobre cargos e funções na Administração Pública Municipal: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36. </w:t>
      </w:r>
      <w:proofErr w:type="gramStart"/>
      <w:r>
        <w:rPr>
          <w:rFonts w:ascii="Arial" w:eastAsia="Arial" w:hAnsi="Arial" w:cs="Arial"/>
          <w:sz w:val="28"/>
          <w:szCs w:val="28"/>
        </w:rPr>
        <w:t>Compete à Câmara Municipal delibera</w:t>
      </w:r>
      <w:r>
        <w:rPr>
          <w:rFonts w:ascii="Arial" w:eastAsia="Arial" w:hAnsi="Arial" w:cs="Arial"/>
          <w:sz w:val="28"/>
          <w:szCs w:val="28"/>
        </w:rPr>
        <w:t>r, com a sanção do Prefeito, sobre todas as matérias da competência do Município, especialmente sobre: (...) VI - criação, classificação e extinção de cargos, empregos e funções públicas municipais na administração direta e indireta, fixando os respectivos</w:t>
      </w:r>
      <w:r>
        <w:rPr>
          <w:rFonts w:ascii="Arial" w:eastAsia="Arial" w:hAnsi="Arial" w:cs="Arial"/>
          <w:sz w:val="28"/>
          <w:szCs w:val="28"/>
        </w:rPr>
        <w:t xml:space="preserve"> vencimentos observando os limites e orçamentos anuais, e os valores máximos das remunerações conforme estabelecido na Constituição Federal e na Lei de Responsabilidade Fiscal”</w:t>
      </w:r>
      <w:proofErr w:type="gramEnd"/>
      <w:r>
        <w:rPr>
          <w:rFonts w:ascii="Arial" w:eastAsia="Arial" w:hAnsi="Arial" w:cs="Arial"/>
          <w:sz w:val="28"/>
          <w:szCs w:val="28"/>
        </w:rPr>
        <w:t>;</w:t>
      </w:r>
    </w:p>
    <w:p w:rsidR="00DD674F" w:rsidRDefault="0092612B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 </w:t>
      </w:r>
      <w:r>
        <w:rPr>
          <w:rFonts w:ascii="Arial" w:eastAsia="Arial" w:hAnsi="Arial" w:cs="Arial"/>
          <w:sz w:val="28"/>
          <w:szCs w:val="28"/>
        </w:rPr>
        <w:tab/>
      </w: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Adentrando ao mérito das disposições que são objeto da proposição,</w:t>
      </w:r>
      <w:r>
        <w:rPr>
          <w:rFonts w:ascii="Arial" w:eastAsia="Arial" w:hAnsi="Arial" w:cs="Arial"/>
          <w:sz w:val="28"/>
          <w:szCs w:val="28"/>
        </w:rPr>
        <w:t xml:space="preserve"> trata-se de legislação que estabelece o Estatuto da Guarda Municipal, regulamentando sua organização, hierarquia, direitos, deveres, carreiras, promoções, disciplina e processos administrativos. O texto estabelece as atribuições da Guarda Municipal, inclu</w:t>
      </w:r>
      <w:r>
        <w:rPr>
          <w:rFonts w:ascii="Arial" w:eastAsia="Arial" w:hAnsi="Arial" w:cs="Arial"/>
          <w:sz w:val="28"/>
          <w:szCs w:val="28"/>
        </w:rPr>
        <w:t xml:space="preserve">indo a proteção de bens públicos, colaboração na segurança pública, fiscalização de trânsito e ações preventivas, além de detalhar os requisitos para ingresso, os critérios de promoção e as sanções por infrações disciplinares, definindo também a estrutura </w:t>
      </w:r>
      <w:r>
        <w:rPr>
          <w:rFonts w:ascii="Arial" w:eastAsia="Arial" w:hAnsi="Arial" w:cs="Arial"/>
          <w:sz w:val="28"/>
          <w:szCs w:val="28"/>
        </w:rPr>
        <w:t>da instituição, seus órgãos de comando e operação.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 respeito da matéria em questão, importante referir, o plenário do STF em 20.2.2025 apreciou o tema 656 da repercussão geral, fixando a seguinte tese: "</w:t>
      </w:r>
      <w:r>
        <w:rPr>
          <w:rFonts w:ascii="Arial" w:eastAsia="Arial" w:hAnsi="Arial" w:cs="Arial"/>
          <w:b/>
          <w:sz w:val="28"/>
          <w:szCs w:val="28"/>
        </w:rPr>
        <w:t>É constitucional, no âmbito dos municípios, o exer</w:t>
      </w:r>
      <w:r>
        <w:rPr>
          <w:rFonts w:ascii="Arial" w:eastAsia="Arial" w:hAnsi="Arial" w:cs="Arial"/>
          <w:b/>
          <w:sz w:val="28"/>
          <w:szCs w:val="28"/>
        </w:rPr>
        <w:t xml:space="preserve">cício de ações de segurança urbana pelas Guardas Municipais, inclusive policiamento ostensivo e </w:t>
      </w:r>
      <w:proofErr w:type="gramStart"/>
      <w:r>
        <w:rPr>
          <w:rFonts w:ascii="Arial" w:eastAsia="Arial" w:hAnsi="Arial" w:cs="Arial"/>
          <w:b/>
          <w:sz w:val="28"/>
          <w:szCs w:val="28"/>
        </w:rPr>
        <w:t>comunitário, respeitadas</w:t>
      </w:r>
      <w:proofErr w:type="gramEnd"/>
      <w:r>
        <w:rPr>
          <w:rFonts w:ascii="Arial" w:eastAsia="Arial" w:hAnsi="Arial" w:cs="Arial"/>
          <w:b/>
          <w:sz w:val="28"/>
          <w:szCs w:val="28"/>
        </w:rPr>
        <w:t xml:space="preserve"> as atribuições dos demais órgãos de segurança pública previstos no art. 144 da Constituição Federal e excluída qualquer atividade de po</w:t>
      </w:r>
      <w:r>
        <w:rPr>
          <w:rFonts w:ascii="Arial" w:eastAsia="Arial" w:hAnsi="Arial" w:cs="Arial"/>
          <w:b/>
          <w:sz w:val="28"/>
          <w:szCs w:val="28"/>
        </w:rPr>
        <w:t>lícia judiciária, sendo submetidas ao controle externo da atividade policial pelo Ministério Público, nos termos do artigo 129, inciso VII, da CF</w:t>
      </w:r>
      <w:r>
        <w:rPr>
          <w:rFonts w:ascii="Arial" w:eastAsia="Arial" w:hAnsi="Arial" w:cs="Arial"/>
          <w:sz w:val="28"/>
          <w:szCs w:val="28"/>
        </w:rPr>
        <w:t>. Conforme o art. 144, § 8º, da Constituição Federal, as leis municipais devem observar as normas gerais fixada</w:t>
      </w:r>
      <w:r>
        <w:rPr>
          <w:rFonts w:ascii="Arial" w:eastAsia="Arial" w:hAnsi="Arial" w:cs="Arial"/>
          <w:sz w:val="28"/>
          <w:szCs w:val="28"/>
        </w:rPr>
        <w:t xml:space="preserve">s pelo Congresso Nacional". 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Ao que podemos observar das disposições constantes dos </w:t>
      </w:r>
      <w:proofErr w:type="spellStart"/>
      <w:r>
        <w:rPr>
          <w:rFonts w:ascii="Arial" w:eastAsia="Arial" w:hAnsi="Arial" w:cs="Arial"/>
          <w:sz w:val="28"/>
          <w:szCs w:val="28"/>
        </w:rPr>
        <w:t>arts</w:t>
      </w:r>
      <w:proofErr w:type="spellEnd"/>
      <w:r>
        <w:rPr>
          <w:rFonts w:ascii="Arial" w:eastAsia="Arial" w:hAnsi="Arial" w:cs="Arial"/>
          <w:sz w:val="28"/>
          <w:szCs w:val="28"/>
        </w:rPr>
        <w:t>. 73 e 74 da proposição em comento, as atribuições fixadas para as respectivas carreiras estão em conformidade com o preconizado pela Suprema Corte.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ab/>
      </w:r>
      <w:r>
        <w:rPr>
          <w:rFonts w:ascii="Arial" w:eastAsia="Arial" w:hAnsi="Arial" w:cs="Arial"/>
          <w:sz w:val="28"/>
          <w:szCs w:val="28"/>
        </w:rPr>
        <w:t>No aspecto fiscal, a proposição vem instruída com manifestação formal do setor técnico competente na estrutura do Poder Executivo Municipal (Secretaria da Fazenda), que emitiu a necessária Estimativa de Impacto Financeiro (</w:t>
      </w:r>
      <w:proofErr w:type="spellStart"/>
      <w:r>
        <w:rPr>
          <w:rFonts w:ascii="Arial" w:eastAsia="Arial" w:hAnsi="Arial" w:cs="Arial"/>
          <w:sz w:val="28"/>
          <w:szCs w:val="28"/>
        </w:rPr>
        <w:t>doc</w:t>
      </w:r>
      <w:proofErr w:type="spellEnd"/>
      <w:r>
        <w:rPr>
          <w:rFonts w:ascii="Arial" w:eastAsia="Arial" w:hAnsi="Arial" w:cs="Arial"/>
          <w:sz w:val="28"/>
          <w:szCs w:val="28"/>
        </w:rPr>
        <w:t>. ID 86557</w:t>
      </w:r>
      <w:r w:rsidR="00D15765">
        <w:rPr>
          <w:rFonts w:ascii="Arial" w:eastAsia="Arial" w:hAnsi="Arial" w:cs="Arial"/>
          <w:sz w:val="28"/>
          <w:szCs w:val="28"/>
        </w:rPr>
        <w:t xml:space="preserve"> e ID 86888</w:t>
      </w:r>
      <w:r>
        <w:rPr>
          <w:rFonts w:ascii="Arial" w:eastAsia="Arial" w:hAnsi="Arial" w:cs="Arial"/>
          <w:sz w:val="28"/>
          <w:szCs w:val="28"/>
        </w:rPr>
        <w:t>), bem como devidame</w:t>
      </w:r>
      <w:r>
        <w:rPr>
          <w:rFonts w:ascii="Arial" w:eastAsia="Arial" w:hAnsi="Arial" w:cs="Arial"/>
          <w:sz w:val="28"/>
          <w:szCs w:val="28"/>
        </w:rPr>
        <w:t>nte anexada a Declaração do Ordenador da Despesa atestando a adequação orçamentária do projeto (</w:t>
      </w:r>
      <w:proofErr w:type="spellStart"/>
      <w:r>
        <w:rPr>
          <w:rFonts w:ascii="Arial" w:eastAsia="Arial" w:hAnsi="Arial" w:cs="Arial"/>
          <w:sz w:val="28"/>
          <w:szCs w:val="28"/>
        </w:rPr>
        <w:t>doc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. ID </w:t>
      </w:r>
      <w:r w:rsidR="00D15765">
        <w:rPr>
          <w:rFonts w:ascii="Arial" w:eastAsia="Arial" w:hAnsi="Arial" w:cs="Arial"/>
          <w:sz w:val="28"/>
          <w:szCs w:val="28"/>
        </w:rPr>
        <w:t>86889</w:t>
      </w:r>
      <w:r>
        <w:rPr>
          <w:rFonts w:ascii="Arial" w:eastAsia="Arial" w:hAnsi="Arial" w:cs="Arial"/>
          <w:sz w:val="28"/>
          <w:szCs w:val="28"/>
        </w:rPr>
        <w:t xml:space="preserve">), resta concluir pela viabilidade jurídica da tramitação, eis que atendidos os requisitos objetivos da Lei de Responsabilidade </w:t>
      </w:r>
      <w:proofErr w:type="gramStart"/>
      <w:r>
        <w:rPr>
          <w:rFonts w:ascii="Arial" w:eastAsia="Arial" w:hAnsi="Arial" w:cs="Arial"/>
          <w:sz w:val="28"/>
          <w:szCs w:val="28"/>
        </w:rPr>
        <w:t>Fiscal .</w:t>
      </w:r>
      <w:proofErr w:type="gramEnd"/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Passando à an</w:t>
      </w:r>
      <w:r>
        <w:rPr>
          <w:rFonts w:ascii="Arial" w:eastAsia="Arial" w:hAnsi="Arial" w:cs="Arial"/>
          <w:sz w:val="28"/>
          <w:szCs w:val="28"/>
        </w:rPr>
        <w:t>álise da tramitação do Processo Legislativo, primeiramente, esclarecemos que a assim denomin</w:t>
      </w:r>
      <w:r>
        <w:rPr>
          <w:rFonts w:ascii="Arial" w:eastAsia="Arial" w:hAnsi="Arial" w:cs="Arial"/>
          <w:sz w:val="28"/>
          <w:szCs w:val="28"/>
        </w:rPr>
        <w:t xml:space="preserve">ada </w:t>
      </w:r>
      <w:r>
        <w:rPr>
          <w:rFonts w:ascii="Arial" w:eastAsia="Arial" w:hAnsi="Arial" w:cs="Arial"/>
          <w:i/>
          <w:sz w:val="28"/>
          <w:szCs w:val="28"/>
        </w:rPr>
        <w:t xml:space="preserve">“Lei Complementar” </w:t>
      </w:r>
      <w:r>
        <w:rPr>
          <w:rFonts w:ascii="Arial" w:eastAsia="Arial" w:hAnsi="Arial" w:cs="Arial"/>
          <w:sz w:val="28"/>
          <w:szCs w:val="28"/>
        </w:rPr>
        <w:t xml:space="preserve">é um tipo de legislação que, em tese, se distingue por sua função de </w:t>
      </w:r>
      <w:proofErr w:type="gramStart"/>
      <w:r>
        <w:rPr>
          <w:rFonts w:ascii="Arial" w:eastAsia="Arial" w:hAnsi="Arial" w:cs="Arial"/>
          <w:sz w:val="28"/>
          <w:szCs w:val="28"/>
        </w:rPr>
        <w:t>complementar normas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gerais estabelecidas pela Constituição ou por leis </w:t>
      </w:r>
      <w:r>
        <w:rPr>
          <w:rFonts w:ascii="Arial" w:eastAsia="Arial" w:hAnsi="Arial" w:cs="Arial"/>
          <w:sz w:val="28"/>
          <w:szCs w:val="28"/>
        </w:rPr>
        <w:t xml:space="preserve">ordinárias, trazendo maior detalhamento e regulamentação para temas específicos. Nos municípios brasileiros, é utilizada principalmente para </w:t>
      </w:r>
      <w:proofErr w:type="gramStart"/>
      <w:r>
        <w:rPr>
          <w:rFonts w:ascii="Arial" w:eastAsia="Arial" w:hAnsi="Arial" w:cs="Arial"/>
          <w:sz w:val="28"/>
          <w:szCs w:val="28"/>
        </w:rPr>
        <w:t>disciplinar matérias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de organização administrativa, tributária e urbanística, como a criação de determinados cargos</w:t>
      </w:r>
      <w:r>
        <w:rPr>
          <w:rFonts w:ascii="Arial" w:eastAsia="Arial" w:hAnsi="Arial" w:cs="Arial"/>
          <w:sz w:val="28"/>
          <w:szCs w:val="28"/>
        </w:rPr>
        <w:t xml:space="preserve"> públicos, o plano diretor municipal e normas tributárias locais.</w:t>
      </w:r>
    </w:p>
    <w:p w:rsidR="00DD674F" w:rsidRDefault="00DD674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Especificamente, a obrigatoriedade da utilização de Lei Complementar no caso vertente decorre da aplicação das seguintes disposições da Lei Orgânica Municipal: </w:t>
      </w:r>
    </w:p>
    <w:p w:rsidR="00DD674F" w:rsidRDefault="00DD674F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89 O Município, juntam</w:t>
      </w:r>
      <w:r>
        <w:rPr>
          <w:rFonts w:ascii="Arial" w:eastAsia="Arial" w:hAnsi="Arial" w:cs="Arial"/>
          <w:sz w:val="28"/>
          <w:szCs w:val="28"/>
        </w:rPr>
        <w:t xml:space="preserve">ente com a União e o Estado, promoverá a garantia da segurança pública, buscando a preservação da ordem pública e da incolumidade das pessoas e do </w:t>
      </w:r>
      <w:proofErr w:type="gramStart"/>
      <w:r>
        <w:rPr>
          <w:rFonts w:ascii="Arial" w:eastAsia="Arial" w:hAnsi="Arial" w:cs="Arial"/>
          <w:sz w:val="28"/>
          <w:szCs w:val="28"/>
        </w:rPr>
        <w:t>patrimônio.</w:t>
      </w:r>
      <w:proofErr w:type="gramEnd"/>
      <w:r>
        <w:rPr>
          <w:rFonts w:ascii="Arial" w:eastAsia="Arial" w:hAnsi="Arial" w:cs="Arial"/>
          <w:sz w:val="28"/>
          <w:szCs w:val="28"/>
        </w:rPr>
        <w:t>(...) § 2º Para assegurar a sua competência comum de preservar a segurança, o Município poderá con</w:t>
      </w:r>
      <w:r>
        <w:rPr>
          <w:rFonts w:ascii="Arial" w:eastAsia="Arial" w:hAnsi="Arial" w:cs="Arial"/>
          <w:sz w:val="28"/>
          <w:szCs w:val="28"/>
        </w:rPr>
        <w:t>stituir Guarda Municipal como força auxiliar, destinada à proteção de seus bens, serviços e instalações, nos termos da lei complementar.</w:t>
      </w:r>
    </w:p>
    <w:p w:rsidR="00DD674F" w:rsidRDefault="00DD674F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DD674F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90 A lei complementar de criação da Guarda Municipal disporá sobre acesso, direitos, deveres, vantagens e regime</w:t>
      </w:r>
      <w:r>
        <w:rPr>
          <w:rFonts w:ascii="Arial" w:eastAsia="Arial" w:hAnsi="Arial" w:cs="Arial"/>
          <w:sz w:val="28"/>
          <w:szCs w:val="28"/>
        </w:rPr>
        <w:t xml:space="preserve"> de trabalho, com base na hierarquia e na disciplina.</w:t>
      </w:r>
    </w:p>
    <w:p w:rsidR="00DD674F" w:rsidRDefault="00DD674F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Já no que se refere ao quorum necessário para aprovação é fixado especificamente em cada caso a partir das matérias que são objetivadas na proposição em questão, como segue: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52 As discussões e v</w:t>
      </w:r>
      <w:r>
        <w:rPr>
          <w:rFonts w:ascii="Arial" w:eastAsia="Arial" w:hAnsi="Arial" w:cs="Arial"/>
          <w:sz w:val="28"/>
          <w:szCs w:val="28"/>
        </w:rPr>
        <w:t xml:space="preserve">otações das matérias constantes da ordem do dia serão efetuadas com a presença da maioria absoluta dos membros da Câmara Municipal. 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(...) 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2º Dependerá do voto favorável de dois terços dos membros da Câmara Municipal a aprovação: I - das leis concernent</w:t>
      </w:r>
      <w:r>
        <w:rPr>
          <w:rFonts w:ascii="Arial" w:eastAsia="Arial" w:hAnsi="Arial" w:cs="Arial"/>
          <w:sz w:val="28"/>
          <w:szCs w:val="28"/>
        </w:rPr>
        <w:t>es: (</w:t>
      </w:r>
      <w:proofErr w:type="gramStart"/>
      <w:r>
        <w:rPr>
          <w:rFonts w:ascii="Arial" w:eastAsia="Arial" w:hAnsi="Arial" w:cs="Arial"/>
          <w:sz w:val="28"/>
          <w:szCs w:val="28"/>
        </w:rPr>
        <w:t>...) c)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à concessão de honrarias;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(...) 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3º Dependerá do voto favorável da maioria absoluta dos membros da Câmara Municipal a aprovação: I - das leis concernentes: (</w:t>
      </w:r>
      <w:proofErr w:type="gramStart"/>
      <w:r>
        <w:rPr>
          <w:rFonts w:ascii="Arial" w:eastAsia="Arial" w:hAnsi="Arial" w:cs="Arial"/>
          <w:sz w:val="28"/>
          <w:szCs w:val="28"/>
        </w:rPr>
        <w:t>...) f)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ao Estatuto dos Servidores Municipais; g) à criação de cargos e aumentos de </w:t>
      </w:r>
      <w:r>
        <w:rPr>
          <w:rFonts w:ascii="Arial" w:eastAsia="Arial" w:hAnsi="Arial" w:cs="Arial"/>
          <w:sz w:val="28"/>
          <w:szCs w:val="28"/>
        </w:rPr>
        <w:t>vencimentos dos servidores municipais.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Ao quanto se observa, considerando que a legislação dispõe em seu teor sobre o estatuto que vem regulamentar uma carreira específica de servidores municipais, contendo medidas que resultarão em aumento de venciment</w:t>
      </w:r>
      <w:r>
        <w:rPr>
          <w:rFonts w:ascii="Arial" w:eastAsia="Arial" w:hAnsi="Arial" w:cs="Arial"/>
          <w:sz w:val="28"/>
          <w:szCs w:val="28"/>
        </w:rPr>
        <w:t>os, e também concessão de honrarias, entendemos que</w:t>
      </w:r>
      <w:r>
        <w:rPr>
          <w:rFonts w:ascii="Arial" w:eastAsia="Arial" w:hAnsi="Arial" w:cs="Arial"/>
          <w:i/>
          <w:sz w:val="28"/>
          <w:szCs w:val="28"/>
          <w:u w:val="single"/>
        </w:rPr>
        <w:t xml:space="preserve"> o quorum de votação deve ser fixado em dois terços dos membros da Câmara Municipal</w:t>
      </w:r>
      <w:r>
        <w:rPr>
          <w:rFonts w:ascii="Arial" w:eastAsia="Arial" w:hAnsi="Arial" w:cs="Arial"/>
          <w:sz w:val="28"/>
          <w:szCs w:val="28"/>
        </w:rPr>
        <w:t>.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Finalmente, registramos que a deliberação pelo plenário da nobre Casa Legislativa deve ser precedida da manifestação das seguintes comissões permanentes:</w:t>
      </w:r>
    </w:p>
    <w:p w:rsidR="00DD674F" w:rsidRDefault="0092612B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DD674F" w:rsidRDefault="0092612B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ab/>
        <w:t>LEGISLAÇÃO E JUSTIÇA, por ser condição de tramitação do processo legislativo para todas as prop</w:t>
      </w:r>
      <w:r>
        <w:rPr>
          <w:rFonts w:ascii="Arial" w:eastAsia="Arial" w:hAnsi="Arial" w:cs="Arial"/>
          <w:sz w:val="28"/>
          <w:szCs w:val="28"/>
        </w:rPr>
        <w:t>osições em geral:</w:t>
      </w:r>
    </w:p>
    <w:p w:rsidR="00DD674F" w:rsidRDefault="0092612B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</w:t>
      </w:r>
      <w:r>
        <w:rPr>
          <w:rFonts w:ascii="Arial" w:eastAsia="Arial" w:hAnsi="Arial" w:cs="Arial"/>
          <w:sz w:val="28"/>
          <w:szCs w:val="28"/>
        </w:rPr>
        <w:t>dequar ao bom vernáculo o texto das proposições. § 1º- Salvo expressa disposição em contrário deste Regimento, é obrigatória a audiência da Comissão de Legislação e Justiça em todos os projetos de lei e determinadas matérias que tramitarem pela Câmara.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</w:t>
      </w:r>
      <w:r>
        <w:rPr>
          <w:rFonts w:ascii="Arial" w:eastAsia="Arial" w:hAnsi="Arial" w:cs="Arial"/>
          <w:sz w:val="28"/>
          <w:szCs w:val="28"/>
        </w:rPr>
        <w:t>) FINANÇAS E ORÇAMENTO, por competência específica, eis que a proposição gera efeitos sobre a receita e despesa do Município.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77- Compete à Comissão de Finanças e Orçamento opinar obrigatoriamente sobre todas as matérias de caráter financeiro, e espe</w:t>
      </w:r>
      <w:r>
        <w:rPr>
          <w:rFonts w:ascii="Arial" w:eastAsia="Arial" w:hAnsi="Arial" w:cs="Arial"/>
          <w:sz w:val="28"/>
          <w:szCs w:val="28"/>
        </w:rPr>
        <w:t>cialmente quando for o caso de: (...) IV - proposições referentes a matérias tributárias; abertura de créditos; empréstimos públicos e as que, direta ou indiretamente, alterem a despesa ou a receita do Município, acarretem responsabilidades ao Erário Munic</w:t>
      </w:r>
      <w:r>
        <w:rPr>
          <w:rFonts w:ascii="Arial" w:eastAsia="Arial" w:hAnsi="Arial" w:cs="Arial"/>
          <w:sz w:val="28"/>
          <w:szCs w:val="28"/>
        </w:rPr>
        <w:t>ipal ou interessem ao crédito e ao Patrimônio Público Municipal;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c) SERVIÇOS URBANOS, por competência específica, tratando-se de legislação que diz respeito à atuação do poder público na área de segurança, e execução de serviços públicos locais: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78-</w:t>
      </w:r>
      <w:r>
        <w:rPr>
          <w:rFonts w:ascii="Arial" w:eastAsia="Arial" w:hAnsi="Arial" w:cs="Arial"/>
          <w:sz w:val="28"/>
          <w:szCs w:val="28"/>
        </w:rPr>
        <w:t xml:space="preserve"> Compete à Comissão de Serviços Urbanos, Habitação e Segurança opinar nas matérias referentes a quaisquer obras públicas, empreendimentos, habitação, </w:t>
      </w:r>
      <w:r>
        <w:rPr>
          <w:rFonts w:ascii="Arial" w:eastAsia="Arial" w:hAnsi="Arial" w:cs="Arial"/>
          <w:b/>
          <w:sz w:val="28"/>
          <w:szCs w:val="28"/>
        </w:rPr>
        <w:t xml:space="preserve">segurança e execução de serviços </w:t>
      </w:r>
      <w:r>
        <w:rPr>
          <w:rFonts w:ascii="Arial" w:eastAsia="Arial" w:hAnsi="Arial" w:cs="Arial"/>
          <w:b/>
          <w:sz w:val="28"/>
          <w:szCs w:val="28"/>
        </w:rPr>
        <w:lastRenderedPageBreak/>
        <w:t xml:space="preserve">públicos locais </w:t>
      </w:r>
      <w:r>
        <w:rPr>
          <w:rFonts w:ascii="Arial" w:eastAsia="Arial" w:hAnsi="Arial" w:cs="Arial"/>
          <w:sz w:val="28"/>
          <w:szCs w:val="28"/>
        </w:rPr>
        <w:t>e ligados às atividades produtivas em geral, oficiais ou particulares, sobre trânsito e transporte e comunicação em geral e, especialmente, sobre o Plano de Desenvolvimento do Município e suas alterações.</w:t>
      </w:r>
    </w:p>
    <w:p w:rsidR="00DD674F" w:rsidRDefault="0092612B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conformidade com os fun</w:t>
      </w:r>
      <w:r>
        <w:rPr>
          <w:rFonts w:ascii="Arial" w:eastAsia="Arial" w:hAnsi="Arial" w:cs="Arial"/>
          <w:sz w:val="28"/>
          <w:szCs w:val="28"/>
        </w:rPr>
        <w:t xml:space="preserve">damentos normativos apresentados acima, encaminhamos o expediente ao prosseguimento opinando pela </w:t>
      </w:r>
      <w:r>
        <w:rPr>
          <w:rFonts w:ascii="Arial" w:eastAsia="Arial" w:hAnsi="Arial" w:cs="Arial"/>
          <w:b/>
          <w:sz w:val="28"/>
          <w:szCs w:val="28"/>
        </w:rPr>
        <w:t>viabilidade de tramitação</w:t>
      </w:r>
      <w:r>
        <w:rPr>
          <w:rFonts w:ascii="Arial" w:eastAsia="Arial" w:hAnsi="Arial" w:cs="Arial"/>
          <w:sz w:val="28"/>
          <w:szCs w:val="28"/>
        </w:rPr>
        <w:t>. Como de costume, anotamos que o presente parecer tem natureza opinativa e não vincula a decisão das comissões. À conclusão superior</w:t>
      </w:r>
      <w:r>
        <w:rPr>
          <w:rFonts w:ascii="Arial" w:eastAsia="Arial" w:hAnsi="Arial" w:cs="Arial"/>
          <w:sz w:val="28"/>
          <w:szCs w:val="28"/>
        </w:rPr>
        <w:t>, e com aprovação, encaminhem-se os autos à DIRETORIA LEGISLATIVA para as devidas diligências.</w:t>
      </w:r>
    </w:p>
    <w:p w:rsidR="00DD674F" w:rsidRDefault="00DD674F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DD674F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ind w:firstLine="708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19 de maio de 2025</w:t>
      </w:r>
      <w:r w:rsidR="00D15765">
        <w:rPr>
          <w:rFonts w:ascii="Arial" w:eastAsia="Arial" w:hAnsi="Arial" w:cs="Arial"/>
          <w:sz w:val="28"/>
          <w:szCs w:val="28"/>
        </w:rPr>
        <w:t>.</w:t>
      </w:r>
    </w:p>
    <w:p w:rsidR="00D15765" w:rsidRDefault="00D15765">
      <w:pPr>
        <w:pStyle w:val="normal0"/>
        <w:ind w:firstLine="708"/>
        <w:jc w:val="right"/>
        <w:rPr>
          <w:rFonts w:ascii="Arial" w:eastAsia="Arial" w:hAnsi="Arial" w:cs="Arial"/>
          <w:sz w:val="28"/>
          <w:szCs w:val="28"/>
        </w:rPr>
      </w:pPr>
    </w:p>
    <w:p w:rsidR="00DD674F" w:rsidRDefault="00DD674F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Pablo José </w:t>
      </w:r>
      <w:proofErr w:type="spellStart"/>
      <w:r>
        <w:rPr>
          <w:rFonts w:ascii="Arial" w:eastAsia="Arial" w:hAnsi="Arial" w:cs="Arial"/>
          <w:b/>
          <w:sz w:val="28"/>
          <w:szCs w:val="28"/>
        </w:rPr>
        <w:t>Camboim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de Souza</w:t>
      </w:r>
    </w:p>
    <w:p w:rsidR="00DD674F" w:rsidRDefault="0092612B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50.493</w:t>
      </w:r>
    </w:p>
    <w:p w:rsidR="00DD674F" w:rsidRDefault="0092612B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Matrícula 881</w:t>
      </w:r>
    </w:p>
    <w:p w:rsidR="00DD674F" w:rsidRDefault="00DD674F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DD674F" w:rsidRDefault="0092612B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DD674F" w:rsidRDefault="0092612B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DD674F" w:rsidRDefault="0092612B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DD674F" w:rsidSect="00DD674F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12B" w:rsidRDefault="0092612B" w:rsidP="00DD674F">
      <w:r>
        <w:separator/>
      </w:r>
    </w:p>
  </w:endnote>
  <w:endnote w:type="continuationSeparator" w:id="0">
    <w:p w:rsidR="0092612B" w:rsidRDefault="0092612B" w:rsidP="00DD6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12B" w:rsidRDefault="0092612B" w:rsidP="00DD674F">
      <w:r>
        <w:separator/>
      </w:r>
    </w:p>
  </w:footnote>
  <w:footnote w:type="continuationSeparator" w:id="0">
    <w:p w:rsidR="0092612B" w:rsidRDefault="0092612B" w:rsidP="00DD67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4F" w:rsidRDefault="0092612B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DD674F" w:rsidRDefault="0092612B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DD674F" w:rsidRDefault="0092612B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DD674F" w:rsidRDefault="00DD674F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7549C"/>
    <w:multiLevelType w:val="multilevel"/>
    <w:tmpl w:val="5F7A1E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674F"/>
    <w:rsid w:val="0092612B"/>
    <w:rsid w:val="00D15765"/>
    <w:rsid w:val="00DD6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DD674F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DD674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DD674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DD674F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DD674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DD674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DD674F"/>
  </w:style>
  <w:style w:type="table" w:customStyle="1" w:styleId="TableNormal">
    <w:name w:val="Table Normal"/>
    <w:rsid w:val="00DD674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DD674F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DD674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1511</Words>
  <Characters>8164</Characters>
  <Application>Microsoft Office Word</Application>
  <DocSecurity>0</DocSecurity>
  <Lines>68</Lines>
  <Paragraphs>19</Paragraphs>
  <ScaleCrop>false</ScaleCrop>
  <Company/>
  <LinksUpToDate>false</LinksUpToDate>
  <CharactersWithSpaces>9656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2025-05-20T00:44:00Z</dcterms:created>
  <dcterms:modified xsi:type="dcterms:W3CDTF">2025-05-20T00:44:00Z</dcterms:modified>
</cp:coreProperties>
</file>