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CB6" w:rsidRDefault="00474709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PLL 018/2025</w:t>
      </w:r>
    </w:p>
    <w:p w:rsidR="004E4CB6" w:rsidRDefault="00474709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Nº do Processo: 28096</w:t>
      </w:r>
    </w:p>
    <w:p w:rsidR="004E4CB6" w:rsidRDefault="00474709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Requerente: Ver. Ricardo Valim</w:t>
      </w:r>
    </w:p>
    <w:p w:rsidR="004E4CB6" w:rsidRDefault="00474709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Tipo de Proposição: Projeto de Lei do Legislativo (PLL)</w:t>
      </w:r>
    </w:p>
    <w:p w:rsidR="004E4CB6" w:rsidRDefault="00474709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Data de Conclusão à Procuradoria: 16/06/2025.</w:t>
      </w:r>
      <w:proofErr w:type="gramStart"/>
      <w:r>
        <w:rPr>
          <w:rFonts w:ascii="Arial" w:eastAsia="Arial" w:hAnsi="Arial" w:cs="Arial"/>
          <w:b/>
          <w:sz w:val="32"/>
          <w:szCs w:val="32"/>
        </w:rPr>
        <w:tab/>
      </w:r>
      <w:proofErr w:type="gramEnd"/>
    </w:p>
    <w:p w:rsidR="004E4CB6" w:rsidRDefault="004E4CB6">
      <w:pPr>
        <w:pStyle w:val="normal0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RELATÓRIO</w:t>
      </w:r>
    </w:p>
    <w:p w:rsidR="004E4CB6" w:rsidRDefault="004E4CB6">
      <w:pPr>
        <w:pStyle w:val="normal0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8"/>
          <w:szCs w:val="28"/>
        </w:rPr>
        <w:t>Edil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 assento nesta nobre Casa Legislativa, que solicita aprovação do Colendo Plenário para Projeto de Lei que “</w:t>
      </w:r>
      <w:r>
        <w:rPr>
          <w:rFonts w:ascii="Arial" w:eastAsia="Arial" w:hAnsi="Arial" w:cs="Arial"/>
          <w:b/>
          <w:i/>
          <w:sz w:val="28"/>
          <w:szCs w:val="28"/>
        </w:rPr>
        <w:t>Institui o Programa Agentes Mirins de Combate à Dengue no Município de Sapucaia do Sul e dá outras providências</w:t>
      </w:r>
      <w:r>
        <w:rPr>
          <w:rFonts w:ascii="Arial" w:eastAsia="Arial" w:hAnsi="Arial" w:cs="Arial"/>
          <w:b/>
          <w:sz w:val="28"/>
          <w:szCs w:val="28"/>
        </w:rPr>
        <w:t>”.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4E4CB6" w:rsidRDefault="004E4CB6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ind w:firstLine="708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Constam os seguintes documentos: </w:t>
      </w:r>
    </w:p>
    <w:p w:rsidR="004E4CB6" w:rsidRDefault="004E4CB6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numPr>
          <w:ilvl w:val="0"/>
          <w:numId w:val="2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87874 (página única).</w:t>
      </w:r>
    </w:p>
    <w:p w:rsidR="004E4CB6" w:rsidRDefault="004E4CB6">
      <w:pPr>
        <w:pStyle w:val="normal0"/>
        <w:ind w:left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ind w:left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Breve é o relatório.</w:t>
      </w:r>
    </w:p>
    <w:p w:rsidR="004E4CB6" w:rsidRDefault="004E4CB6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PARECER</w:t>
      </w:r>
    </w:p>
    <w:p w:rsidR="004E4CB6" w:rsidRDefault="004E4CB6">
      <w:pPr>
        <w:pStyle w:val="normal0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 avaliação jurídica da proposição em análise, cujo escopo institui políticas de atuação para o poder público nas áreas de saúde e educação, especificamente no que se refere ao combate à Dengue, deve primordialmente verificar a compatibilidade da norma com os princípios constitucionais, em especial o da separação dos poderes (art. 2º, CF/88), verificando se o texto legislativo estabelece diretrizes gerais ou se, de forma indevida, adentra a esfera de competência administrativa do Executivo. </w:t>
      </w:r>
      <w:r>
        <w:rPr>
          <w:rFonts w:ascii="Arial" w:eastAsia="Arial" w:hAnsi="Arial" w:cs="Arial"/>
          <w:i/>
          <w:sz w:val="28"/>
          <w:szCs w:val="28"/>
        </w:rPr>
        <w:t xml:space="preserve">In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verbis</w:t>
      </w:r>
      <w:proofErr w:type="spellEnd"/>
      <w:r>
        <w:rPr>
          <w:rFonts w:ascii="Arial" w:eastAsia="Arial" w:hAnsi="Arial" w:cs="Arial"/>
          <w:i/>
          <w:sz w:val="28"/>
          <w:szCs w:val="28"/>
        </w:rPr>
        <w:t>:</w:t>
      </w:r>
    </w:p>
    <w:p w:rsidR="004E4CB6" w:rsidRDefault="004E4CB6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Pr="003329FA" w:rsidRDefault="00474709">
      <w:pPr>
        <w:pStyle w:val="normal0"/>
        <w:ind w:left="2160"/>
        <w:jc w:val="both"/>
        <w:rPr>
          <w:rFonts w:ascii="Arial" w:eastAsia="Arial" w:hAnsi="Arial" w:cs="Arial"/>
          <w:szCs w:val="28"/>
        </w:rPr>
      </w:pPr>
      <w:r w:rsidRPr="003329FA">
        <w:rPr>
          <w:rFonts w:ascii="Arial" w:eastAsia="Arial" w:hAnsi="Arial" w:cs="Arial"/>
          <w:szCs w:val="28"/>
        </w:rPr>
        <w:t xml:space="preserve">“Leis de iniciativa exclusiva do prefeito são aquelas em que só a ele cabe o envio do projeto à Câmara. Nessa categoria estão as que disponham sobre a criação, estruturação e atribuição das secretarias, órgãos e entidades da Administração Pública Municipal. Se a Câmara, desatendendo a </w:t>
      </w:r>
      <w:proofErr w:type="spellStart"/>
      <w:r w:rsidRPr="003329FA">
        <w:rPr>
          <w:rFonts w:ascii="Arial" w:eastAsia="Arial" w:hAnsi="Arial" w:cs="Arial"/>
          <w:szCs w:val="28"/>
        </w:rPr>
        <w:t>privatividade</w:t>
      </w:r>
      <w:proofErr w:type="spellEnd"/>
      <w:r w:rsidRPr="003329FA">
        <w:rPr>
          <w:rFonts w:ascii="Arial" w:eastAsia="Arial" w:hAnsi="Arial" w:cs="Arial"/>
          <w:szCs w:val="28"/>
        </w:rPr>
        <w:t xml:space="preserve"> do Executivo para esses projetos, votar e aprovar leis sobre tais matérias</w:t>
      </w:r>
      <w:proofErr w:type="gramStart"/>
      <w:r w:rsidRPr="003329FA">
        <w:rPr>
          <w:rFonts w:ascii="Arial" w:eastAsia="Arial" w:hAnsi="Arial" w:cs="Arial"/>
          <w:szCs w:val="28"/>
        </w:rPr>
        <w:t>, caberá</w:t>
      </w:r>
      <w:proofErr w:type="gramEnd"/>
      <w:r w:rsidRPr="003329FA">
        <w:rPr>
          <w:rFonts w:ascii="Arial" w:eastAsia="Arial" w:hAnsi="Arial" w:cs="Arial"/>
          <w:szCs w:val="28"/>
        </w:rPr>
        <w:t xml:space="preserve"> ao prefeito vetá-las, por inconstitucionais. </w:t>
      </w:r>
      <w:r w:rsidRPr="003329FA">
        <w:rPr>
          <w:rFonts w:ascii="Arial" w:eastAsia="Arial" w:hAnsi="Arial" w:cs="Arial"/>
          <w:szCs w:val="28"/>
        </w:rPr>
        <w:lastRenderedPageBreak/>
        <w:t>Sancionadas e promulgadas que sejam, nem por isso se nos afigura que convalesçam do vício inicial, porque o Executivo não pode renunciar prerrogativas institucionais, inerentes às suas funções, como não pode delegá-las ou aquiescer em que o Legislativo as exerça. Tal entendimento é o dominante na boa doutrina, e os tribunais não mais hesitam sobre o assunto, afirmando a inconstitucionalidade desses diplomas”. (</w:t>
      </w:r>
      <w:proofErr w:type="spellStart"/>
      <w:r w:rsidRPr="003329FA">
        <w:rPr>
          <w:rFonts w:ascii="Arial" w:eastAsia="Arial" w:hAnsi="Arial" w:cs="Arial"/>
          <w:szCs w:val="28"/>
        </w:rPr>
        <w:t>Hely</w:t>
      </w:r>
      <w:proofErr w:type="spellEnd"/>
      <w:r w:rsidRPr="003329FA">
        <w:rPr>
          <w:rFonts w:ascii="Arial" w:eastAsia="Arial" w:hAnsi="Arial" w:cs="Arial"/>
          <w:szCs w:val="28"/>
        </w:rPr>
        <w:t xml:space="preserve"> Lopes Meirelles, in “Direito Municipal Brasileiro”, 17ª edição, Malheiros Editores, 2014, p.760-761).</w:t>
      </w:r>
    </w:p>
    <w:p w:rsidR="004E4CB6" w:rsidRDefault="004E4CB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nossa Lei Orgânica Municipal, a questão da iniciativa privativa do Chefe do Executivo é abordada da seguinte forma:</w:t>
      </w:r>
    </w:p>
    <w:p w:rsidR="004E4CB6" w:rsidRPr="003329FA" w:rsidRDefault="00474709">
      <w:pPr>
        <w:pStyle w:val="normal0"/>
        <w:ind w:left="2160" w:hanging="34"/>
        <w:jc w:val="both"/>
        <w:rPr>
          <w:rFonts w:ascii="Arial" w:eastAsia="Arial" w:hAnsi="Arial" w:cs="Arial"/>
          <w:szCs w:val="28"/>
        </w:rPr>
      </w:pPr>
      <w:r w:rsidRPr="003329FA">
        <w:rPr>
          <w:rFonts w:ascii="Arial" w:eastAsia="Arial" w:hAnsi="Arial" w:cs="Arial"/>
          <w:szCs w:val="28"/>
        </w:rPr>
        <w:t xml:space="preserve">Art. 55. </w:t>
      </w:r>
      <w:proofErr w:type="gramStart"/>
      <w:r w:rsidRPr="003329FA">
        <w:rPr>
          <w:rFonts w:ascii="Arial" w:eastAsia="Arial" w:hAnsi="Arial" w:cs="Arial"/>
          <w:szCs w:val="28"/>
        </w:rPr>
        <w:t>Compete,</w:t>
      </w:r>
      <w:proofErr w:type="gramEnd"/>
      <w:r w:rsidRPr="003329FA">
        <w:rPr>
          <w:rFonts w:ascii="Arial" w:eastAsia="Arial" w:hAnsi="Arial" w:cs="Arial"/>
          <w:szCs w:val="28"/>
        </w:rPr>
        <w:t xml:space="preserve"> privativamente ao Prefeito, a iniciativa de projetos de lei que disponham sobre:</w:t>
      </w:r>
    </w:p>
    <w:p w:rsidR="004E4CB6" w:rsidRPr="003329FA" w:rsidRDefault="004E4CB6">
      <w:pPr>
        <w:pStyle w:val="normal0"/>
        <w:ind w:left="2160" w:hanging="34"/>
        <w:jc w:val="both"/>
        <w:rPr>
          <w:rFonts w:ascii="Arial" w:eastAsia="Arial" w:hAnsi="Arial" w:cs="Arial"/>
          <w:szCs w:val="28"/>
        </w:rPr>
      </w:pPr>
    </w:p>
    <w:p w:rsidR="004E4CB6" w:rsidRPr="003329FA" w:rsidRDefault="00474709">
      <w:pPr>
        <w:pStyle w:val="normal0"/>
        <w:ind w:left="2160" w:hanging="34"/>
        <w:jc w:val="both"/>
        <w:rPr>
          <w:rFonts w:ascii="Arial" w:eastAsia="Arial" w:hAnsi="Arial" w:cs="Arial"/>
          <w:szCs w:val="28"/>
        </w:rPr>
      </w:pPr>
      <w:r w:rsidRPr="003329FA">
        <w:rPr>
          <w:rFonts w:ascii="Arial" w:eastAsia="Arial" w:hAnsi="Arial" w:cs="Arial"/>
          <w:szCs w:val="28"/>
        </w:rPr>
        <w:t>I ‐ criação de cargos, funções ou empregos públicos na administração direta e indireta do Poder Executivo, ou aumento de sua remuneração;</w:t>
      </w:r>
    </w:p>
    <w:p w:rsidR="004E4CB6" w:rsidRPr="003329FA" w:rsidRDefault="00474709">
      <w:pPr>
        <w:pStyle w:val="normal0"/>
        <w:ind w:left="2160" w:hanging="34"/>
        <w:jc w:val="both"/>
        <w:rPr>
          <w:rFonts w:ascii="Arial" w:eastAsia="Arial" w:hAnsi="Arial" w:cs="Arial"/>
          <w:szCs w:val="28"/>
        </w:rPr>
      </w:pPr>
      <w:r w:rsidRPr="003329FA">
        <w:rPr>
          <w:rFonts w:ascii="Arial" w:eastAsia="Arial" w:hAnsi="Arial" w:cs="Arial"/>
          <w:szCs w:val="28"/>
        </w:rPr>
        <w:t>II ‐ servidores públicos do Poder Executivo, seu regime jurídico e provimento de cargos;</w:t>
      </w:r>
    </w:p>
    <w:p w:rsidR="004E4CB6" w:rsidRPr="003329FA" w:rsidRDefault="00474709">
      <w:pPr>
        <w:pStyle w:val="normal0"/>
        <w:ind w:left="2160" w:hanging="34"/>
        <w:jc w:val="both"/>
        <w:rPr>
          <w:rFonts w:ascii="Arial" w:eastAsia="Arial" w:hAnsi="Arial" w:cs="Arial"/>
          <w:szCs w:val="28"/>
        </w:rPr>
      </w:pPr>
      <w:r w:rsidRPr="003329FA">
        <w:rPr>
          <w:rFonts w:ascii="Arial" w:eastAsia="Arial" w:hAnsi="Arial" w:cs="Arial"/>
          <w:szCs w:val="28"/>
        </w:rPr>
        <w:t>III ‐ criação, estruturação e atribuições das Secretarias Municipais e órgãos da Administração Pública Municipal;</w:t>
      </w:r>
    </w:p>
    <w:p w:rsidR="004E4CB6" w:rsidRPr="003329FA" w:rsidRDefault="00474709">
      <w:pPr>
        <w:pStyle w:val="normal0"/>
        <w:ind w:left="2160" w:hanging="34"/>
        <w:jc w:val="both"/>
        <w:rPr>
          <w:rFonts w:ascii="Arial" w:eastAsia="Arial" w:hAnsi="Arial" w:cs="Arial"/>
          <w:szCs w:val="28"/>
        </w:rPr>
      </w:pPr>
      <w:r w:rsidRPr="003329FA">
        <w:rPr>
          <w:rFonts w:ascii="Arial" w:eastAsia="Arial" w:hAnsi="Arial" w:cs="Arial"/>
          <w:szCs w:val="28"/>
        </w:rPr>
        <w:t>IV ‐ proposições que geram despesas ou que comprometam receitas do Município.</w:t>
      </w:r>
    </w:p>
    <w:p w:rsidR="004E4CB6" w:rsidRDefault="004E4CB6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E4CB6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 respeito dessa questão, o STF estabeleceu que:</w:t>
      </w:r>
    </w:p>
    <w:p w:rsidR="004E4CB6" w:rsidRDefault="004E4CB6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Pr="003329FA" w:rsidRDefault="00474709">
      <w:pPr>
        <w:pStyle w:val="normal0"/>
        <w:ind w:left="2160"/>
        <w:jc w:val="both"/>
        <w:rPr>
          <w:rFonts w:ascii="Arial" w:eastAsia="Arial" w:hAnsi="Arial" w:cs="Arial"/>
          <w:szCs w:val="28"/>
        </w:rPr>
      </w:pPr>
      <w:r w:rsidRPr="003329FA">
        <w:rPr>
          <w:rFonts w:ascii="Arial" w:eastAsia="Arial" w:hAnsi="Arial" w:cs="Arial"/>
          <w:szCs w:val="28"/>
        </w:rPr>
        <w:t xml:space="preserve">Ementa: AGRAVO REGIMENTAL EM EMBARGOS DE DECLARAÇÃO EM RECURSO EXTRAORDINÁRIO COM AGRAVO. CONSTITUCIONAL. AÇÃO DIRETA DE INCONSTITUCIONALIDADE NO TRIBUNAL DE JUSTIÇA. </w:t>
      </w:r>
      <w:r w:rsidRPr="003329FA">
        <w:rPr>
          <w:rFonts w:ascii="Arial" w:eastAsia="Arial" w:hAnsi="Arial" w:cs="Arial"/>
          <w:b/>
          <w:szCs w:val="28"/>
        </w:rPr>
        <w:t>LEI MUNICIPAL QUE ESTABELECE POLÍTICAS PÚBLICAS</w:t>
      </w:r>
      <w:r w:rsidRPr="003329FA">
        <w:rPr>
          <w:rFonts w:ascii="Arial" w:eastAsia="Arial" w:hAnsi="Arial" w:cs="Arial"/>
          <w:szCs w:val="28"/>
        </w:rPr>
        <w:t xml:space="preserve"> VOLTADAS AO COMBATE À ALIENAÇÃO PARENTAL </w:t>
      </w:r>
      <w:r w:rsidRPr="003329FA">
        <w:rPr>
          <w:rFonts w:ascii="Arial" w:eastAsia="Arial" w:hAnsi="Arial" w:cs="Arial"/>
          <w:b/>
          <w:szCs w:val="28"/>
        </w:rPr>
        <w:t>INEXISTÊNCIA DE OFENSA À INICIATIVA PRIVATIVA OU À COMPETÊNCIA DO CHEFE DO PODER EXECUTIVO</w:t>
      </w:r>
      <w:r w:rsidRPr="003329FA">
        <w:rPr>
          <w:rFonts w:ascii="Arial" w:eastAsia="Arial" w:hAnsi="Arial" w:cs="Arial"/>
          <w:szCs w:val="28"/>
        </w:rPr>
        <w:t xml:space="preserve"> E DO PROCURADOR-GERAL DE </w:t>
      </w:r>
      <w:proofErr w:type="gramStart"/>
      <w:r w:rsidRPr="003329FA">
        <w:rPr>
          <w:rFonts w:ascii="Arial" w:eastAsia="Arial" w:hAnsi="Arial" w:cs="Arial"/>
          <w:szCs w:val="28"/>
        </w:rPr>
        <w:t>JUSTIÇA .</w:t>
      </w:r>
      <w:proofErr w:type="gramEnd"/>
      <w:r w:rsidRPr="003329FA">
        <w:rPr>
          <w:rFonts w:ascii="Arial" w:eastAsia="Arial" w:hAnsi="Arial" w:cs="Arial"/>
          <w:szCs w:val="28"/>
        </w:rPr>
        <w:t xml:space="preserve"> DESPROVIMENTO DO AGRAVO REGIMENTAL. 1. </w:t>
      </w:r>
      <w:r w:rsidRPr="003329FA">
        <w:rPr>
          <w:rFonts w:ascii="Arial" w:eastAsia="Arial" w:hAnsi="Arial" w:cs="Arial"/>
          <w:b/>
          <w:szCs w:val="28"/>
        </w:rPr>
        <w:t>Norma de origem parlamentar que não cria, extingue ou altera órgão da Administração Pública não ofende a regra constitucional de iniciativa privativa do Poder Executivo para dispor sobre essa matéria</w:t>
      </w:r>
      <w:r w:rsidRPr="003329FA">
        <w:rPr>
          <w:rFonts w:ascii="Arial" w:eastAsia="Arial" w:hAnsi="Arial" w:cs="Arial"/>
          <w:szCs w:val="28"/>
        </w:rPr>
        <w:t xml:space="preserve">. </w:t>
      </w:r>
      <w:proofErr w:type="gramStart"/>
      <w:r w:rsidRPr="003329FA">
        <w:rPr>
          <w:rFonts w:ascii="Arial" w:eastAsia="Arial" w:hAnsi="Arial" w:cs="Arial"/>
          <w:szCs w:val="28"/>
        </w:rPr>
        <w:t>2 .</w:t>
      </w:r>
      <w:proofErr w:type="gramEnd"/>
      <w:r w:rsidRPr="003329FA">
        <w:rPr>
          <w:rFonts w:ascii="Arial" w:eastAsia="Arial" w:hAnsi="Arial" w:cs="Arial"/>
          <w:szCs w:val="28"/>
        </w:rPr>
        <w:t xml:space="preserve"> </w:t>
      </w:r>
      <w:r w:rsidRPr="003329FA">
        <w:rPr>
          <w:rFonts w:ascii="Arial" w:eastAsia="Arial" w:hAnsi="Arial" w:cs="Arial"/>
          <w:b/>
          <w:szCs w:val="28"/>
        </w:rPr>
        <w:t>Não ofende a separação de poderes a previsão, em lei de iniciativa parlamentar, de encargo inerente ao Poder Público</w:t>
      </w:r>
      <w:r w:rsidRPr="003329FA">
        <w:rPr>
          <w:rFonts w:ascii="Arial" w:eastAsia="Arial" w:hAnsi="Arial" w:cs="Arial"/>
          <w:szCs w:val="28"/>
        </w:rPr>
        <w:t>. 3. Agravo regimental a que se nega provimento. (STF - ARE: 1447546 GO, Relator</w:t>
      </w:r>
      <w:proofErr w:type="gramStart"/>
      <w:r w:rsidRPr="003329FA">
        <w:rPr>
          <w:rFonts w:ascii="Arial" w:eastAsia="Arial" w:hAnsi="Arial" w:cs="Arial"/>
          <w:szCs w:val="28"/>
        </w:rPr>
        <w:t>.:</w:t>
      </w:r>
      <w:proofErr w:type="gramEnd"/>
      <w:r w:rsidRPr="003329FA">
        <w:rPr>
          <w:rFonts w:ascii="Arial" w:eastAsia="Arial" w:hAnsi="Arial" w:cs="Arial"/>
          <w:szCs w:val="28"/>
        </w:rPr>
        <w:t xml:space="preserve"> </w:t>
      </w:r>
      <w:proofErr w:type="spellStart"/>
      <w:r w:rsidRPr="003329FA">
        <w:rPr>
          <w:rFonts w:ascii="Arial" w:eastAsia="Arial" w:hAnsi="Arial" w:cs="Arial"/>
          <w:szCs w:val="28"/>
        </w:rPr>
        <w:t>Min</w:t>
      </w:r>
      <w:proofErr w:type="spellEnd"/>
      <w:r w:rsidRPr="003329FA">
        <w:rPr>
          <w:rFonts w:ascii="Arial" w:eastAsia="Arial" w:hAnsi="Arial" w:cs="Arial"/>
          <w:szCs w:val="28"/>
        </w:rPr>
        <w:t xml:space="preserve"> . EDSON FACHIN, Data de Julgamento: 05/06/2024, Tribunal Pleno, Data de Publicação: </w:t>
      </w:r>
      <w:r w:rsidRPr="003329FA">
        <w:rPr>
          <w:rFonts w:ascii="Arial" w:eastAsia="Arial" w:hAnsi="Arial" w:cs="Arial"/>
          <w:szCs w:val="28"/>
        </w:rPr>
        <w:lastRenderedPageBreak/>
        <w:t xml:space="preserve">PROCESSO ELETRÔNICO </w:t>
      </w:r>
      <w:proofErr w:type="spellStart"/>
      <w:r w:rsidRPr="003329FA">
        <w:rPr>
          <w:rFonts w:ascii="Arial" w:eastAsia="Arial" w:hAnsi="Arial" w:cs="Arial"/>
          <w:szCs w:val="28"/>
        </w:rPr>
        <w:t>DJe</w:t>
      </w:r>
      <w:proofErr w:type="spellEnd"/>
      <w:r w:rsidRPr="003329FA">
        <w:rPr>
          <w:rFonts w:ascii="Arial" w:eastAsia="Arial" w:hAnsi="Arial" w:cs="Arial"/>
          <w:szCs w:val="28"/>
        </w:rPr>
        <w:t>-s/n DIVULG 14-06-2024 PUBLIC 17-06-2024).</w:t>
      </w:r>
    </w:p>
    <w:p w:rsidR="004E4CB6" w:rsidRDefault="004E4CB6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Adentrando ao mérito das medidas propostas no corpo da proposição, </w:t>
      </w:r>
      <w:r w:rsidR="00232E0E">
        <w:rPr>
          <w:rFonts w:ascii="Arial" w:eastAsia="Arial" w:hAnsi="Arial" w:cs="Arial"/>
          <w:sz w:val="28"/>
          <w:szCs w:val="28"/>
        </w:rPr>
        <w:t xml:space="preserve">em princípio junto ao art. 1º </w:t>
      </w:r>
      <w:r>
        <w:rPr>
          <w:rFonts w:ascii="Arial" w:eastAsia="Arial" w:hAnsi="Arial" w:cs="Arial"/>
          <w:sz w:val="28"/>
          <w:szCs w:val="28"/>
        </w:rPr>
        <w:t xml:space="preserve">não </w:t>
      </w:r>
      <w:r w:rsidR="00232E0E">
        <w:rPr>
          <w:rFonts w:ascii="Arial" w:eastAsia="Arial" w:hAnsi="Arial" w:cs="Arial"/>
          <w:sz w:val="28"/>
          <w:szCs w:val="28"/>
        </w:rPr>
        <w:t>se verifica</w:t>
      </w:r>
      <w:r>
        <w:rPr>
          <w:rFonts w:ascii="Arial" w:eastAsia="Arial" w:hAnsi="Arial" w:cs="Arial"/>
          <w:sz w:val="28"/>
          <w:szCs w:val="28"/>
        </w:rPr>
        <w:t xml:space="preserve">, a existência de disposição que não possa ser lida como “diretriz geral”, ou seja, </w:t>
      </w:r>
      <w:proofErr w:type="gramStart"/>
      <w:r>
        <w:rPr>
          <w:rFonts w:ascii="Arial" w:eastAsia="Arial" w:hAnsi="Arial" w:cs="Arial"/>
          <w:sz w:val="28"/>
          <w:szCs w:val="28"/>
        </w:rPr>
        <w:t>define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os objetivos, fins e linhas mestras de uma política pública ou ação estatal, sem adentrar em minúcias operacionais ou métodos específicos de execução.</w:t>
      </w:r>
    </w:p>
    <w:p w:rsidR="004E4CB6" w:rsidRDefault="004E4CB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De outra banda, a partir do artigo 3º da proposição, no que se refere ao poder de iniciativa parlamentar, </w:t>
      </w:r>
      <w:r w:rsidR="00232E0E">
        <w:rPr>
          <w:rFonts w:ascii="Arial" w:eastAsia="Arial" w:hAnsi="Arial" w:cs="Arial"/>
          <w:sz w:val="28"/>
          <w:szCs w:val="28"/>
        </w:rPr>
        <w:t>existem ressalvas a serem avaliadas.</w:t>
      </w:r>
    </w:p>
    <w:p w:rsidR="004E4CB6" w:rsidRDefault="004E4CB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Senão vejamos:</w:t>
      </w:r>
    </w:p>
    <w:p w:rsidR="004E4CB6" w:rsidRDefault="004E4CB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numPr>
          <w:ilvl w:val="0"/>
          <w:numId w:val="1"/>
        </w:numPr>
        <w:spacing w:after="2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O artigo </w:t>
      </w:r>
      <w:r w:rsidR="00232E0E">
        <w:rPr>
          <w:rFonts w:ascii="Arial" w:eastAsia="Arial" w:hAnsi="Arial" w:cs="Arial"/>
          <w:sz w:val="28"/>
          <w:szCs w:val="28"/>
        </w:rPr>
        <w:t>3º (</w:t>
      </w:r>
      <w:r>
        <w:rPr>
          <w:rFonts w:ascii="Arial" w:eastAsia="Arial" w:hAnsi="Arial" w:cs="Arial"/>
          <w:sz w:val="28"/>
          <w:szCs w:val="28"/>
        </w:rPr>
        <w:t>terceiro</w:t>
      </w:r>
      <w:r w:rsidR="00232E0E" w:rsidRPr="003329FA">
        <w:rPr>
          <w:rFonts w:ascii="Arial" w:eastAsia="Arial" w:hAnsi="Arial" w:cs="Arial"/>
          <w:b/>
          <w:i/>
          <w:sz w:val="28"/>
          <w:szCs w:val="28"/>
        </w:rPr>
        <w:t>)</w:t>
      </w:r>
      <w:r w:rsidRPr="003329FA">
        <w:rPr>
          <w:rFonts w:ascii="Arial" w:eastAsia="Arial" w:hAnsi="Arial" w:cs="Arial"/>
          <w:b/>
          <w:i/>
          <w:sz w:val="28"/>
          <w:szCs w:val="28"/>
        </w:rPr>
        <w:t xml:space="preserve"> “autoriza”</w:t>
      </w:r>
      <w:r>
        <w:rPr>
          <w:rFonts w:ascii="Arial" w:eastAsia="Arial" w:hAnsi="Arial" w:cs="Arial"/>
          <w:sz w:val="28"/>
          <w:szCs w:val="28"/>
        </w:rPr>
        <w:t xml:space="preserve"> a realização das atividades que especifica em espaço pedagógico;</w:t>
      </w:r>
    </w:p>
    <w:p w:rsidR="003329FA" w:rsidRPr="00B73094" w:rsidRDefault="00B73094" w:rsidP="00B73094">
      <w:pPr>
        <w:pStyle w:val="normal0"/>
        <w:spacing w:after="200"/>
        <w:ind w:left="2268"/>
        <w:jc w:val="both"/>
        <w:rPr>
          <w:rFonts w:ascii="Arial" w:eastAsia="Arial" w:hAnsi="Arial" w:cs="Arial"/>
          <w:b/>
          <w:i/>
          <w:sz w:val="28"/>
          <w:szCs w:val="28"/>
        </w:rPr>
      </w:pPr>
      <w:r w:rsidRPr="00B73094">
        <w:rPr>
          <w:rFonts w:ascii="Arial" w:eastAsia="Arial" w:hAnsi="Arial" w:cs="Arial"/>
          <w:b/>
          <w:i/>
          <w:szCs w:val="28"/>
        </w:rPr>
        <w:t xml:space="preserve">Art. 3º. A formação dos Agentes Mirins de combate ao </w:t>
      </w:r>
      <w:proofErr w:type="spellStart"/>
      <w:r w:rsidRPr="00B73094">
        <w:rPr>
          <w:rFonts w:ascii="Arial" w:eastAsia="Arial" w:hAnsi="Arial" w:cs="Arial"/>
          <w:b/>
          <w:i/>
          <w:szCs w:val="28"/>
        </w:rPr>
        <w:t>Aedes</w:t>
      </w:r>
      <w:proofErr w:type="spellEnd"/>
      <w:r w:rsidRPr="00B73094">
        <w:rPr>
          <w:rFonts w:ascii="Arial" w:eastAsia="Arial" w:hAnsi="Arial" w:cs="Arial"/>
          <w:b/>
          <w:i/>
          <w:szCs w:val="28"/>
        </w:rPr>
        <w:t xml:space="preserve"> </w:t>
      </w:r>
      <w:proofErr w:type="spellStart"/>
      <w:r w:rsidRPr="00B73094">
        <w:rPr>
          <w:rFonts w:ascii="Arial" w:eastAsia="Arial" w:hAnsi="Arial" w:cs="Arial"/>
          <w:b/>
          <w:i/>
          <w:szCs w:val="28"/>
        </w:rPr>
        <w:t>Aegypti</w:t>
      </w:r>
      <w:proofErr w:type="spellEnd"/>
      <w:r w:rsidRPr="00B73094">
        <w:rPr>
          <w:rFonts w:ascii="Arial" w:eastAsia="Arial" w:hAnsi="Arial" w:cs="Arial"/>
          <w:b/>
          <w:i/>
          <w:szCs w:val="28"/>
        </w:rPr>
        <w:t xml:space="preserve"> acontecerá em espaço pedagógico, ocasião em que ocorrerá a orientação sobre como funcionará o projeto, podendo ser desenvolvidas as seguintes atividades:</w:t>
      </w:r>
      <w:r w:rsidRPr="00B73094">
        <w:rPr>
          <w:rFonts w:ascii="Arial" w:eastAsia="Arial" w:hAnsi="Arial" w:cs="Arial"/>
          <w:b/>
          <w:i/>
          <w:sz w:val="28"/>
          <w:szCs w:val="28"/>
        </w:rPr>
        <w:t xml:space="preserve"> </w:t>
      </w:r>
    </w:p>
    <w:p w:rsidR="003329FA" w:rsidRPr="00B73094" w:rsidRDefault="003329FA" w:rsidP="003329FA">
      <w:pPr>
        <w:pStyle w:val="normal0"/>
        <w:spacing w:after="200"/>
        <w:ind w:left="2268"/>
        <w:jc w:val="both"/>
        <w:rPr>
          <w:rFonts w:ascii="Arial" w:eastAsia="Arial" w:hAnsi="Arial" w:cs="Arial"/>
          <w:b/>
          <w:i/>
          <w:sz w:val="28"/>
          <w:szCs w:val="28"/>
        </w:rPr>
      </w:pPr>
      <w:r w:rsidRPr="00B73094">
        <w:rPr>
          <w:rFonts w:ascii="Arial" w:hAnsi="Arial" w:cs="Arial"/>
          <w:b/>
          <w:i/>
        </w:rPr>
        <w:t>I – ações educativas com filmes, jogos, dinâmica, gincanas, com o objetivo de simular onde</w:t>
      </w:r>
      <w:r w:rsidRPr="00B73094">
        <w:rPr>
          <w:rFonts w:ascii="Arial" w:hAnsi="Arial" w:cs="Arial"/>
          <w:b/>
          <w:i/>
        </w:rPr>
        <w:br/>
        <w:t>estão localizados os criadouros do mosquito, identificando e demonstrando a sua elimina-</w:t>
      </w:r>
      <w:r w:rsidRPr="00B73094">
        <w:rPr>
          <w:rFonts w:ascii="Arial" w:hAnsi="Arial" w:cs="Arial"/>
          <w:b/>
          <w:i/>
        </w:rPr>
        <w:br/>
      </w:r>
      <w:proofErr w:type="spellStart"/>
      <w:r w:rsidRPr="00B73094">
        <w:rPr>
          <w:rFonts w:ascii="Arial" w:hAnsi="Arial" w:cs="Arial"/>
          <w:b/>
          <w:i/>
        </w:rPr>
        <w:t>ção</w:t>
      </w:r>
      <w:proofErr w:type="spellEnd"/>
      <w:r w:rsidRPr="00B73094">
        <w:rPr>
          <w:rFonts w:ascii="Arial" w:hAnsi="Arial" w:cs="Arial"/>
          <w:b/>
          <w:i/>
        </w:rPr>
        <w:t>.</w:t>
      </w:r>
      <w:r w:rsidRPr="00B73094">
        <w:rPr>
          <w:rFonts w:ascii="Arial" w:hAnsi="Arial" w:cs="Arial"/>
          <w:b/>
          <w:i/>
        </w:rPr>
        <w:br/>
        <w:t>II- as práticas utilizadas na formação dos agentes terão como propósito mostrar as relações</w:t>
      </w:r>
      <w:r w:rsidRPr="00B73094">
        <w:rPr>
          <w:rFonts w:ascii="Arial" w:hAnsi="Arial" w:cs="Arial"/>
          <w:b/>
          <w:i/>
        </w:rPr>
        <w:br/>
        <w:t>entre os sintomas das doenças, tratamento e prevenção na proliferação do mosquito;</w:t>
      </w:r>
      <w:r w:rsidRPr="00B73094">
        <w:rPr>
          <w:rFonts w:ascii="Arial" w:hAnsi="Arial" w:cs="Arial"/>
          <w:b/>
          <w:i/>
        </w:rPr>
        <w:br/>
        <w:t>III- disponibilização de palestras lúdicas, demonstrando a evolução do mosquito, o ciclo bi-</w:t>
      </w:r>
      <w:r w:rsidRPr="00B73094">
        <w:rPr>
          <w:rFonts w:ascii="Arial" w:hAnsi="Arial" w:cs="Arial"/>
          <w:b/>
          <w:i/>
        </w:rPr>
        <w:br/>
      </w:r>
      <w:proofErr w:type="spellStart"/>
      <w:r w:rsidRPr="00B73094">
        <w:rPr>
          <w:rFonts w:ascii="Arial" w:hAnsi="Arial" w:cs="Arial"/>
          <w:b/>
          <w:i/>
        </w:rPr>
        <w:t>ológico</w:t>
      </w:r>
      <w:proofErr w:type="spellEnd"/>
      <w:r w:rsidRPr="00B73094">
        <w:rPr>
          <w:rFonts w:ascii="Arial" w:hAnsi="Arial" w:cs="Arial"/>
          <w:b/>
          <w:i/>
        </w:rPr>
        <w:t>, com vídeos ilustrativos e visitas guiadas com cenário representativo, ensinando for-</w:t>
      </w:r>
      <w:r w:rsidRPr="00B73094">
        <w:rPr>
          <w:rFonts w:ascii="Arial" w:hAnsi="Arial" w:cs="Arial"/>
          <w:b/>
          <w:i/>
        </w:rPr>
        <w:br/>
        <w:t>mas de eliminação do criadouro.</w:t>
      </w:r>
    </w:p>
    <w:p w:rsidR="003329FA" w:rsidRDefault="003329FA" w:rsidP="003329FA">
      <w:pPr>
        <w:pStyle w:val="normal0"/>
        <w:spacing w:after="20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numPr>
          <w:ilvl w:val="0"/>
          <w:numId w:val="1"/>
        </w:numPr>
        <w:spacing w:after="2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O artigo </w:t>
      </w:r>
      <w:r w:rsidR="00232E0E">
        <w:rPr>
          <w:rFonts w:ascii="Arial" w:eastAsia="Arial" w:hAnsi="Arial" w:cs="Arial"/>
          <w:sz w:val="28"/>
          <w:szCs w:val="28"/>
        </w:rPr>
        <w:t>4º (</w:t>
      </w:r>
      <w:r>
        <w:rPr>
          <w:rFonts w:ascii="Arial" w:eastAsia="Arial" w:hAnsi="Arial" w:cs="Arial"/>
          <w:sz w:val="28"/>
          <w:szCs w:val="28"/>
        </w:rPr>
        <w:t>quarto</w:t>
      </w:r>
      <w:r w:rsidR="00232E0E">
        <w:rPr>
          <w:rFonts w:ascii="Arial" w:eastAsia="Arial" w:hAnsi="Arial" w:cs="Arial"/>
          <w:sz w:val="28"/>
          <w:szCs w:val="28"/>
        </w:rPr>
        <w:t>)</w:t>
      </w:r>
      <w:r>
        <w:rPr>
          <w:rFonts w:ascii="Arial" w:eastAsia="Arial" w:hAnsi="Arial" w:cs="Arial"/>
          <w:sz w:val="28"/>
          <w:szCs w:val="28"/>
        </w:rPr>
        <w:t xml:space="preserve"> “autoriza” a participação de estudantes matriculados nos trabalhos do programa em questão;</w:t>
      </w:r>
    </w:p>
    <w:p w:rsidR="003329FA" w:rsidRPr="00B73094" w:rsidRDefault="003329FA" w:rsidP="003329FA">
      <w:pPr>
        <w:pStyle w:val="normal0"/>
        <w:spacing w:after="200"/>
        <w:ind w:left="2268"/>
        <w:jc w:val="both"/>
        <w:rPr>
          <w:rFonts w:ascii="Arial" w:eastAsia="Arial" w:hAnsi="Arial" w:cs="Arial"/>
          <w:b/>
          <w:i/>
          <w:szCs w:val="28"/>
        </w:rPr>
      </w:pPr>
      <w:r w:rsidRPr="00B73094">
        <w:rPr>
          <w:rFonts w:ascii="Arial" w:eastAsia="Arial" w:hAnsi="Arial" w:cs="Arial"/>
          <w:b/>
          <w:i/>
          <w:szCs w:val="28"/>
        </w:rPr>
        <w:t>Art. 4º – Todos os estudantes devidamente matriculados poderão participar deste projeto, devendo apresentar a devida identificação quando da execução dos trabalhos relativos ao presente Programa.</w:t>
      </w:r>
    </w:p>
    <w:p w:rsidR="004E4CB6" w:rsidRDefault="00474709">
      <w:pPr>
        <w:pStyle w:val="normal0"/>
        <w:numPr>
          <w:ilvl w:val="0"/>
          <w:numId w:val="1"/>
        </w:numPr>
        <w:spacing w:after="2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 artigo</w:t>
      </w:r>
      <w:r w:rsidR="00232E0E">
        <w:rPr>
          <w:rFonts w:ascii="Arial" w:eastAsia="Arial" w:hAnsi="Arial" w:cs="Arial"/>
          <w:sz w:val="28"/>
          <w:szCs w:val="28"/>
        </w:rPr>
        <w:t xml:space="preserve"> 5º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232E0E">
        <w:rPr>
          <w:rFonts w:ascii="Arial" w:eastAsia="Arial" w:hAnsi="Arial" w:cs="Arial"/>
          <w:sz w:val="28"/>
          <w:szCs w:val="28"/>
        </w:rPr>
        <w:t>(</w:t>
      </w:r>
      <w:r>
        <w:rPr>
          <w:rFonts w:ascii="Arial" w:eastAsia="Arial" w:hAnsi="Arial" w:cs="Arial"/>
          <w:sz w:val="28"/>
          <w:szCs w:val="28"/>
        </w:rPr>
        <w:t>quinto</w:t>
      </w:r>
      <w:r w:rsidR="00232E0E">
        <w:rPr>
          <w:rFonts w:ascii="Arial" w:eastAsia="Arial" w:hAnsi="Arial" w:cs="Arial"/>
          <w:sz w:val="28"/>
          <w:szCs w:val="28"/>
        </w:rPr>
        <w:t>)</w:t>
      </w:r>
      <w:r>
        <w:rPr>
          <w:rFonts w:ascii="Arial" w:eastAsia="Arial" w:hAnsi="Arial" w:cs="Arial"/>
          <w:sz w:val="28"/>
          <w:szCs w:val="28"/>
        </w:rPr>
        <w:t xml:space="preserve"> “autoriza” a utilização de determinados materiais para as finalidades indicadas;</w:t>
      </w:r>
    </w:p>
    <w:p w:rsidR="003329FA" w:rsidRPr="00B73094" w:rsidRDefault="003329FA" w:rsidP="003329FA">
      <w:pPr>
        <w:pStyle w:val="normal0"/>
        <w:spacing w:after="200"/>
        <w:ind w:left="2268"/>
        <w:jc w:val="both"/>
        <w:rPr>
          <w:rFonts w:ascii="Arial" w:eastAsia="Arial" w:hAnsi="Arial" w:cs="Arial"/>
          <w:b/>
          <w:i/>
          <w:szCs w:val="28"/>
        </w:rPr>
      </w:pPr>
      <w:r w:rsidRPr="00B73094">
        <w:rPr>
          <w:rFonts w:ascii="Arial" w:eastAsia="Arial" w:hAnsi="Arial" w:cs="Arial"/>
          <w:b/>
          <w:i/>
          <w:szCs w:val="28"/>
        </w:rPr>
        <w:t xml:space="preserve">Art. 5º – Os materiais coletados pelas crianças e adolescentes poderão ser utilizados na produção de peças e objetos recicláveis podendo ser apresentados </w:t>
      </w:r>
      <w:proofErr w:type="gramStart"/>
      <w:r w:rsidRPr="00B73094">
        <w:rPr>
          <w:rFonts w:ascii="Arial" w:eastAsia="Arial" w:hAnsi="Arial" w:cs="Arial"/>
          <w:b/>
          <w:i/>
          <w:szCs w:val="28"/>
        </w:rPr>
        <w:t>a</w:t>
      </w:r>
      <w:proofErr w:type="gramEnd"/>
      <w:r w:rsidRPr="00B73094">
        <w:rPr>
          <w:rFonts w:ascii="Arial" w:eastAsia="Arial" w:hAnsi="Arial" w:cs="Arial"/>
          <w:b/>
          <w:i/>
          <w:szCs w:val="28"/>
        </w:rPr>
        <w:t xml:space="preserve"> comunidade e as escolas do município, tanto públicas, quanto privadas.</w:t>
      </w:r>
    </w:p>
    <w:p w:rsidR="004E4CB6" w:rsidRDefault="00474709">
      <w:pPr>
        <w:pStyle w:val="normal0"/>
        <w:numPr>
          <w:ilvl w:val="0"/>
          <w:numId w:val="1"/>
        </w:numPr>
        <w:spacing w:after="2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 artigo</w:t>
      </w:r>
      <w:r w:rsidR="00232E0E">
        <w:rPr>
          <w:rFonts w:ascii="Arial" w:eastAsia="Arial" w:hAnsi="Arial" w:cs="Arial"/>
          <w:sz w:val="28"/>
          <w:szCs w:val="28"/>
        </w:rPr>
        <w:t xml:space="preserve"> 6º (</w:t>
      </w:r>
      <w:r>
        <w:rPr>
          <w:rFonts w:ascii="Arial" w:eastAsia="Arial" w:hAnsi="Arial" w:cs="Arial"/>
          <w:sz w:val="28"/>
          <w:szCs w:val="28"/>
        </w:rPr>
        <w:t>sexto</w:t>
      </w:r>
      <w:r w:rsidR="00232E0E">
        <w:rPr>
          <w:rFonts w:ascii="Arial" w:eastAsia="Arial" w:hAnsi="Arial" w:cs="Arial"/>
          <w:sz w:val="28"/>
          <w:szCs w:val="28"/>
        </w:rPr>
        <w:t>)</w:t>
      </w:r>
      <w:r>
        <w:rPr>
          <w:rFonts w:ascii="Arial" w:eastAsia="Arial" w:hAnsi="Arial" w:cs="Arial"/>
          <w:sz w:val="28"/>
          <w:szCs w:val="28"/>
        </w:rPr>
        <w:t xml:space="preserve"> “autoriza” a realização de cerimônia de formação com determinadas características, e;</w:t>
      </w:r>
    </w:p>
    <w:p w:rsidR="00232E0E" w:rsidRPr="003329FA" w:rsidRDefault="00232E0E" w:rsidP="003329FA">
      <w:pPr>
        <w:pStyle w:val="normal0"/>
        <w:spacing w:after="200"/>
        <w:ind w:left="2268"/>
        <w:jc w:val="both"/>
        <w:rPr>
          <w:rFonts w:ascii="Arial" w:eastAsia="Arial" w:hAnsi="Arial" w:cs="Arial"/>
          <w:b/>
          <w:i/>
          <w:szCs w:val="28"/>
        </w:rPr>
      </w:pPr>
      <w:r w:rsidRPr="003329FA">
        <w:rPr>
          <w:rFonts w:ascii="Arial" w:eastAsia="Arial" w:hAnsi="Arial" w:cs="Arial"/>
          <w:i/>
          <w:szCs w:val="28"/>
        </w:rPr>
        <w:t>Art. 6º - Anualmente, poderá ser realizada cerimônia de formação e premiação dos Agentes</w:t>
      </w:r>
      <w:r w:rsidRPr="003329FA">
        <w:rPr>
          <w:rFonts w:ascii="Arial" w:eastAsia="Arial" w:hAnsi="Arial" w:cs="Arial"/>
          <w:i/>
          <w:szCs w:val="28"/>
        </w:rPr>
        <w:t xml:space="preserve"> </w:t>
      </w:r>
      <w:r w:rsidRPr="003329FA">
        <w:rPr>
          <w:rFonts w:ascii="Arial" w:eastAsia="Arial" w:hAnsi="Arial" w:cs="Arial"/>
          <w:i/>
          <w:szCs w:val="28"/>
        </w:rPr>
        <w:t xml:space="preserve">Mirins de combate ao mosquito </w:t>
      </w:r>
      <w:proofErr w:type="spellStart"/>
      <w:r w:rsidRPr="003329FA">
        <w:rPr>
          <w:rFonts w:ascii="Arial" w:eastAsia="Arial" w:hAnsi="Arial" w:cs="Arial"/>
          <w:i/>
          <w:szCs w:val="28"/>
        </w:rPr>
        <w:t>Aedes</w:t>
      </w:r>
      <w:proofErr w:type="spellEnd"/>
      <w:r w:rsidRPr="003329FA">
        <w:rPr>
          <w:rFonts w:ascii="Arial" w:eastAsia="Arial" w:hAnsi="Arial" w:cs="Arial"/>
          <w:i/>
          <w:szCs w:val="28"/>
        </w:rPr>
        <w:t xml:space="preserve"> </w:t>
      </w:r>
      <w:proofErr w:type="spellStart"/>
      <w:r w:rsidRPr="003329FA">
        <w:rPr>
          <w:rFonts w:ascii="Arial" w:eastAsia="Arial" w:hAnsi="Arial" w:cs="Arial"/>
          <w:i/>
          <w:szCs w:val="28"/>
        </w:rPr>
        <w:t>Aegypti</w:t>
      </w:r>
      <w:proofErr w:type="spellEnd"/>
      <w:r w:rsidRPr="003329FA">
        <w:rPr>
          <w:rFonts w:ascii="Arial" w:eastAsia="Arial" w:hAnsi="Arial" w:cs="Arial"/>
          <w:i/>
          <w:szCs w:val="28"/>
        </w:rPr>
        <w:t>, a qual poderá ocorrer após o encerramento</w:t>
      </w:r>
      <w:r w:rsidRPr="003329FA">
        <w:rPr>
          <w:rFonts w:ascii="Arial" w:eastAsia="Arial" w:hAnsi="Arial" w:cs="Arial"/>
          <w:i/>
          <w:szCs w:val="28"/>
        </w:rPr>
        <w:t xml:space="preserve"> </w:t>
      </w:r>
      <w:r w:rsidRPr="003329FA">
        <w:rPr>
          <w:rFonts w:ascii="Arial" w:eastAsia="Arial" w:hAnsi="Arial" w:cs="Arial"/>
          <w:i/>
          <w:szCs w:val="28"/>
        </w:rPr>
        <w:t xml:space="preserve">do ano letivo, quando </w:t>
      </w:r>
      <w:r w:rsidRPr="003329FA">
        <w:rPr>
          <w:rFonts w:ascii="Arial" w:eastAsia="Arial" w:hAnsi="Arial" w:cs="Arial"/>
          <w:b/>
          <w:i/>
          <w:szCs w:val="28"/>
        </w:rPr>
        <w:t>os homenageados poderão receber ce</w:t>
      </w:r>
      <w:r w:rsidRPr="003329FA">
        <w:rPr>
          <w:rFonts w:ascii="Arial" w:eastAsia="Arial" w:hAnsi="Arial" w:cs="Arial"/>
          <w:b/>
          <w:i/>
          <w:szCs w:val="28"/>
        </w:rPr>
        <w:t>rtificados, medalhas e/ou premi</w:t>
      </w:r>
      <w:r w:rsidRPr="003329FA">
        <w:rPr>
          <w:rFonts w:ascii="Arial" w:eastAsia="Arial" w:hAnsi="Arial" w:cs="Arial"/>
          <w:b/>
          <w:i/>
          <w:szCs w:val="28"/>
        </w:rPr>
        <w:t>ações de acordo com os critérios estabelecidos pelo Poder Executivo Municipal.</w:t>
      </w:r>
    </w:p>
    <w:p w:rsidR="00232E0E" w:rsidRPr="003329FA" w:rsidRDefault="00232E0E" w:rsidP="003329FA">
      <w:pPr>
        <w:pStyle w:val="normal0"/>
        <w:spacing w:after="200"/>
        <w:ind w:left="2268"/>
        <w:jc w:val="both"/>
        <w:rPr>
          <w:rFonts w:ascii="Arial" w:eastAsia="Arial" w:hAnsi="Arial" w:cs="Arial"/>
          <w:b/>
          <w:i/>
          <w:szCs w:val="28"/>
        </w:rPr>
      </w:pPr>
      <w:r w:rsidRPr="003329FA">
        <w:rPr>
          <w:rFonts w:ascii="Arial" w:eastAsia="Arial" w:hAnsi="Arial" w:cs="Arial"/>
          <w:b/>
          <w:i/>
          <w:szCs w:val="28"/>
        </w:rPr>
        <w:t>§1º Caberá ao órgão competente do Poder Executivo Munic</w:t>
      </w:r>
      <w:r w:rsidRPr="003329FA">
        <w:rPr>
          <w:rFonts w:ascii="Arial" w:eastAsia="Arial" w:hAnsi="Arial" w:cs="Arial"/>
          <w:b/>
          <w:i/>
          <w:szCs w:val="28"/>
        </w:rPr>
        <w:t>ipal definir a relação dos Agen</w:t>
      </w:r>
      <w:r w:rsidRPr="003329FA">
        <w:rPr>
          <w:rFonts w:ascii="Arial" w:eastAsia="Arial" w:hAnsi="Arial" w:cs="Arial"/>
          <w:b/>
          <w:i/>
          <w:szCs w:val="28"/>
        </w:rPr>
        <w:t>tes Mirins com maior destaque nas atividades desenvolvidas ao longo do ano, cuja avaliação</w:t>
      </w:r>
      <w:r w:rsidRPr="003329FA">
        <w:rPr>
          <w:rFonts w:ascii="Arial" w:eastAsia="Arial" w:hAnsi="Arial" w:cs="Arial"/>
          <w:b/>
          <w:i/>
          <w:szCs w:val="28"/>
        </w:rPr>
        <w:t xml:space="preserve"> </w:t>
      </w:r>
      <w:r w:rsidRPr="003329FA">
        <w:rPr>
          <w:rFonts w:ascii="Arial" w:eastAsia="Arial" w:hAnsi="Arial" w:cs="Arial"/>
          <w:b/>
          <w:i/>
          <w:szCs w:val="28"/>
        </w:rPr>
        <w:t>ficará a cargo de uma comissão especialmente designada pa</w:t>
      </w:r>
      <w:r w:rsidRPr="003329FA">
        <w:rPr>
          <w:rFonts w:ascii="Arial" w:eastAsia="Arial" w:hAnsi="Arial" w:cs="Arial"/>
          <w:b/>
          <w:i/>
          <w:szCs w:val="28"/>
        </w:rPr>
        <w:t>ra este fim, que procederá a se</w:t>
      </w:r>
      <w:r w:rsidRPr="003329FA">
        <w:rPr>
          <w:rFonts w:ascii="Arial" w:eastAsia="Arial" w:hAnsi="Arial" w:cs="Arial"/>
          <w:b/>
          <w:i/>
          <w:szCs w:val="28"/>
        </w:rPr>
        <w:t xml:space="preserve">leção dos finalistas, devendo esta </w:t>
      </w:r>
      <w:proofErr w:type="gramStart"/>
      <w:r w:rsidRPr="003329FA">
        <w:rPr>
          <w:rFonts w:ascii="Arial" w:eastAsia="Arial" w:hAnsi="Arial" w:cs="Arial"/>
          <w:b/>
          <w:i/>
          <w:szCs w:val="28"/>
        </w:rPr>
        <w:t>ser</w:t>
      </w:r>
      <w:proofErr w:type="gramEnd"/>
      <w:r w:rsidRPr="003329FA">
        <w:rPr>
          <w:rFonts w:ascii="Arial" w:eastAsia="Arial" w:hAnsi="Arial" w:cs="Arial"/>
          <w:b/>
          <w:i/>
          <w:szCs w:val="28"/>
        </w:rPr>
        <w:t xml:space="preserve"> composta por um repres</w:t>
      </w:r>
      <w:r w:rsidRPr="003329FA">
        <w:rPr>
          <w:rFonts w:ascii="Arial" w:eastAsia="Arial" w:hAnsi="Arial" w:cs="Arial"/>
          <w:b/>
          <w:i/>
          <w:szCs w:val="28"/>
        </w:rPr>
        <w:t>entante de cada instituição par</w:t>
      </w:r>
      <w:r w:rsidRPr="003329FA">
        <w:rPr>
          <w:rFonts w:ascii="Arial" w:eastAsia="Arial" w:hAnsi="Arial" w:cs="Arial"/>
          <w:b/>
          <w:i/>
          <w:szCs w:val="28"/>
        </w:rPr>
        <w:t>ticipante, além de integrantes indicados pelo Poder Executivo.</w:t>
      </w:r>
    </w:p>
    <w:p w:rsidR="00232E0E" w:rsidRPr="003329FA" w:rsidRDefault="00232E0E" w:rsidP="003329FA">
      <w:pPr>
        <w:pStyle w:val="normal0"/>
        <w:spacing w:after="200"/>
        <w:ind w:left="2268"/>
        <w:jc w:val="both"/>
        <w:rPr>
          <w:rFonts w:ascii="Arial" w:eastAsia="Arial" w:hAnsi="Arial" w:cs="Arial"/>
          <w:b/>
          <w:i/>
          <w:szCs w:val="28"/>
        </w:rPr>
      </w:pPr>
      <w:r w:rsidRPr="003329FA">
        <w:rPr>
          <w:rFonts w:ascii="Arial" w:eastAsia="Arial" w:hAnsi="Arial" w:cs="Arial"/>
          <w:b/>
          <w:i/>
          <w:szCs w:val="28"/>
        </w:rPr>
        <w:t>§2º As eventuais premiações poderão ser adquiridas pelo Poder Executivo Municipal ou,</w:t>
      </w:r>
      <w:r w:rsidRPr="003329FA">
        <w:rPr>
          <w:rFonts w:ascii="Arial" w:eastAsia="Arial" w:hAnsi="Arial" w:cs="Arial"/>
          <w:b/>
          <w:i/>
          <w:szCs w:val="28"/>
        </w:rPr>
        <w:t xml:space="preserve"> </w:t>
      </w:r>
      <w:r w:rsidRPr="003329FA">
        <w:rPr>
          <w:rFonts w:ascii="Arial" w:eastAsia="Arial" w:hAnsi="Arial" w:cs="Arial"/>
          <w:b/>
          <w:i/>
          <w:szCs w:val="28"/>
        </w:rPr>
        <w:t>ainda, doadas mediante cooperação de outras instituições da iniciativa privada parceiras do</w:t>
      </w:r>
      <w:r w:rsidRPr="003329FA">
        <w:rPr>
          <w:rFonts w:ascii="Arial" w:eastAsia="Arial" w:hAnsi="Arial" w:cs="Arial"/>
          <w:b/>
          <w:i/>
          <w:szCs w:val="28"/>
        </w:rPr>
        <w:t xml:space="preserve"> </w:t>
      </w:r>
      <w:r w:rsidRPr="003329FA">
        <w:rPr>
          <w:rFonts w:ascii="Arial" w:eastAsia="Arial" w:hAnsi="Arial" w:cs="Arial"/>
          <w:b/>
          <w:i/>
          <w:szCs w:val="28"/>
        </w:rPr>
        <w:t>programa.</w:t>
      </w:r>
    </w:p>
    <w:p w:rsidR="00232E0E" w:rsidRPr="003329FA" w:rsidRDefault="00232E0E" w:rsidP="003329FA">
      <w:pPr>
        <w:pStyle w:val="normal0"/>
        <w:spacing w:after="200"/>
        <w:ind w:left="2268"/>
        <w:jc w:val="both"/>
        <w:rPr>
          <w:rFonts w:ascii="Arial" w:eastAsia="Arial" w:hAnsi="Arial" w:cs="Arial"/>
          <w:b/>
          <w:i/>
          <w:szCs w:val="28"/>
        </w:rPr>
      </w:pPr>
      <w:r w:rsidRPr="003329FA">
        <w:rPr>
          <w:rFonts w:ascii="Arial" w:eastAsia="Arial" w:hAnsi="Arial" w:cs="Arial"/>
          <w:b/>
          <w:i/>
          <w:szCs w:val="28"/>
        </w:rPr>
        <w:t>Grifou-se.</w:t>
      </w:r>
    </w:p>
    <w:p w:rsidR="00B73094" w:rsidRDefault="00B73094" w:rsidP="00B73094">
      <w:pPr>
        <w:pStyle w:val="normal0"/>
        <w:numPr>
          <w:ilvl w:val="0"/>
          <w:numId w:val="1"/>
        </w:numPr>
        <w:spacing w:after="2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 artigo 7º (sétimo) “autoriza” o desenvolvimento do programa mediante cooperação com outros entes federativos e iniciativa privada.</w:t>
      </w:r>
    </w:p>
    <w:p w:rsidR="00B73094" w:rsidRPr="00B73094" w:rsidRDefault="00B73094" w:rsidP="00B73094">
      <w:pPr>
        <w:pStyle w:val="normal0"/>
        <w:ind w:left="2268"/>
        <w:jc w:val="both"/>
        <w:rPr>
          <w:i/>
          <w:sz w:val="22"/>
        </w:rPr>
      </w:pPr>
      <w:r w:rsidRPr="00B73094">
        <w:rPr>
          <w:rFonts w:ascii="Arial" w:eastAsia="Arial" w:hAnsi="Arial" w:cs="Arial"/>
          <w:i/>
          <w:szCs w:val="28"/>
        </w:rPr>
        <w:lastRenderedPageBreak/>
        <w:t>Art. 7º - O Programa poderá ser desenvolvido mediante cooperação da União, Estado, Município, iniciativa privada, cooperativas, associações, entidades e instituições de ensino, de acordo com a autonomia e competência de cada um para orientação dos trabalhos, financiamento das atividades e provimento de auxílio, sem fins lucrativos para estas atividades.</w:t>
      </w:r>
      <w:r w:rsidRPr="00B73094">
        <w:rPr>
          <w:i/>
          <w:sz w:val="22"/>
        </w:rPr>
        <w:t xml:space="preserve"> </w:t>
      </w:r>
    </w:p>
    <w:p w:rsidR="003329FA" w:rsidRDefault="003329FA" w:rsidP="003329FA">
      <w:pPr>
        <w:pStyle w:val="normal0"/>
        <w:spacing w:line="360" w:lineRule="auto"/>
        <w:ind w:firstLine="709"/>
        <w:jc w:val="both"/>
        <w:rPr>
          <w:rFonts w:ascii="Arial" w:eastAsia="Arial" w:hAnsi="Arial" w:cs="Arial"/>
          <w:sz w:val="28"/>
          <w:szCs w:val="28"/>
        </w:rPr>
      </w:pPr>
    </w:p>
    <w:p w:rsidR="003329FA" w:rsidRDefault="003329FA" w:rsidP="003329FA">
      <w:pPr>
        <w:pStyle w:val="normal0"/>
        <w:spacing w:line="360" w:lineRule="auto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</w:t>
      </w:r>
      <w:r w:rsidR="00B73094">
        <w:rPr>
          <w:rFonts w:ascii="Arial" w:eastAsia="Arial" w:hAnsi="Arial" w:cs="Arial"/>
          <w:sz w:val="28"/>
          <w:szCs w:val="28"/>
        </w:rPr>
        <w:t>m grande parte de</w:t>
      </w:r>
      <w:r>
        <w:rPr>
          <w:rFonts w:ascii="Arial" w:eastAsia="Arial" w:hAnsi="Arial" w:cs="Arial"/>
          <w:sz w:val="28"/>
          <w:szCs w:val="28"/>
        </w:rPr>
        <w:t>sse</w:t>
      </w:r>
      <w:r w:rsidR="00B73094"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 xml:space="preserve"> artigo</w:t>
      </w:r>
      <w:r w:rsidR="00B73094">
        <w:rPr>
          <w:rFonts w:ascii="Arial" w:eastAsia="Arial" w:hAnsi="Arial" w:cs="Arial"/>
          <w:sz w:val="28"/>
          <w:szCs w:val="28"/>
        </w:rPr>
        <w:t>s</w:t>
      </w:r>
      <w:r w:rsidRPr="00232E0E">
        <w:rPr>
          <w:rFonts w:ascii="Arial" w:eastAsia="Arial" w:hAnsi="Arial" w:cs="Arial"/>
          <w:sz w:val="28"/>
          <w:szCs w:val="28"/>
        </w:rPr>
        <w:t xml:space="preserve"> do</w:t>
      </w:r>
      <w:r w:rsidR="00B73094">
        <w:rPr>
          <w:rFonts w:ascii="Arial" w:eastAsia="Arial" w:hAnsi="Arial" w:cs="Arial"/>
          <w:sz w:val="28"/>
          <w:szCs w:val="28"/>
        </w:rPr>
        <w:t xml:space="preserve"> respectivo</w:t>
      </w:r>
      <w:r w:rsidRPr="00232E0E">
        <w:rPr>
          <w:rFonts w:ascii="Arial" w:eastAsia="Arial" w:hAnsi="Arial" w:cs="Arial"/>
          <w:sz w:val="28"/>
          <w:szCs w:val="28"/>
        </w:rPr>
        <w:t xml:space="preserve"> Projeto de Lei disciplinam matéria relativa à organização e ao funcionamento de órgãos públicos e atos da direção superior de seus serviços, que se inserem no âmbito da r</w:t>
      </w:r>
      <w:r>
        <w:rPr>
          <w:rFonts w:ascii="Arial" w:eastAsia="Arial" w:hAnsi="Arial" w:cs="Arial"/>
          <w:sz w:val="28"/>
          <w:szCs w:val="28"/>
        </w:rPr>
        <w:t>eserva da administração e invadindo</w:t>
      </w:r>
      <w:r w:rsidRPr="00232E0E">
        <w:rPr>
          <w:rFonts w:ascii="Arial" w:eastAsia="Arial" w:hAnsi="Arial" w:cs="Arial"/>
          <w:sz w:val="28"/>
          <w:szCs w:val="28"/>
        </w:rPr>
        <w:t xml:space="preserve"> as atribuições do Chefe do Poder Executivo, ofendendo o princípio da separação dos poderes.</w:t>
      </w:r>
    </w:p>
    <w:p w:rsidR="00B73094" w:rsidRDefault="00B73094" w:rsidP="00B73094">
      <w:pPr>
        <w:pStyle w:val="normal0"/>
        <w:spacing w:after="200"/>
        <w:ind w:left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Em essência, a inconstitucionalidade ocorre porque o Poder Executivo </w:t>
      </w:r>
      <w:r>
        <w:rPr>
          <w:rFonts w:ascii="Arial" w:eastAsia="Arial" w:hAnsi="Arial" w:cs="Arial"/>
          <w:b/>
          <w:i/>
          <w:sz w:val="28"/>
          <w:szCs w:val="28"/>
        </w:rPr>
        <w:t xml:space="preserve">já dispõe de competência própria para a prática de atos dessa natureza, </w:t>
      </w:r>
      <w:r>
        <w:rPr>
          <w:rFonts w:ascii="Arial" w:eastAsia="Arial" w:hAnsi="Arial" w:cs="Arial"/>
          <w:b/>
          <w:sz w:val="28"/>
          <w:szCs w:val="28"/>
        </w:rPr>
        <w:t xml:space="preserve">não necessitando e nem tendo solicitado autorização do poder legislativo para tanto. </w:t>
      </w:r>
    </w:p>
    <w:p w:rsidR="004E4CB6" w:rsidRDefault="004E4CB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Nesse sentido:</w:t>
      </w:r>
    </w:p>
    <w:p w:rsidR="004E4CB6" w:rsidRDefault="004E4CB6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Pr="00B73094" w:rsidRDefault="00474709">
      <w:pPr>
        <w:pStyle w:val="normal0"/>
        <w:ind w:left="2160"/>
        <w:jc w:val="both"/>
        <w:rPr>
          <w:rFonts w:ascii="Arial" w:eastAsia="Arial" w:hAnsi="Arial" w:cs="Arial"/>
          <w:i/>
          <w:szCs w:val="28"/>
        </w:rPr>
      </w:pPr>
      <w:r w:rsidRPr="00B73094">
        <w:rPr>
          <w:rFonts w:ascii="Arial" w:eastAsia="Arial" w:hAnsi="Arial" w:cs="Arial"/>
          <w:i/>
          <w:szCs w:val="28"/>
        </w:rPr>
        <w:t xml:space="preserve">Ação Direta de Inconstitucionalidade. Lei Municipal nº 1.960, de 04 de outubro de 2014, que autoriza o Executivo a criar Base da Guarda Civil Municipal em bairro determinado. Instituição subordinada ao Chefe do Poder Executivo local. Lei questionada que indica a maneira pela qual deve o Executivo executar a política de segurança local. Vício formal de iniciativa. Lei de iniciativa parlamentar que usurpou atribuição do Chefe do Poder Executivo, violando o princípio de separação e harmonia entre os poderes. </w:t>
      </w:r>
      <w:r w:rsidRPr="00B73094">
        <w:rPr>
          <w:rFonts w:ascii="Arial" w:eastAsia="Arial" w:hAnsi="Arial" w:cs="Arial"/>
          <w:b/>
          <w:i/>
          <w:szCs w:val="28"/>
        </w:rPr>
        <w:t xml:space="preserve">Lei </w:t>
      </w:r>
      <w:proofErr w:type="spellStart"/>
      <w:r w:rsidRPr="00B73094">
        <w:rPr>
          <w:rFonts w:ascii="Arial" w:eastAsia="Arial" w:hAnsi="Arial" w:cs="Arial"/>
          <w:b/>
          <w:i/>
          <w:szCs w:val="28"/>
        </w:rPr>
        <w:t>autorizativa</w:t>
      </w:r>
      <w:proofErr w:type="spellEnd"/>
      <w:r w:rsidRPr="00B73094">
        <w:rPr>
          <w:rFonts w:ascii="Arial" w:eastAsia="Arial" w:hAnsi="Arial" w:cs="Arial"/>
          <w:b/>
          <w:i/>
          <w:szCs w:val="28"/>
        </w:rPr>
        <w:t xml:space="preserve"> do Poder Legislativo para o desempenho de atos de exclusiva competência do Poder Executivo</w:t>
      </w:r>
      <w:r w:rsidRPr="00B73094">
        <w:rPr>
          <w:rFonts w:ascii="Arial" w:eastAsia="Arial" w:hAnsi="Arial" w:cs="Arial"/>
          <w:i/>
          <w:szCs w:val="28"/>
        </w:rPr>
        <w:t xml:space="preserve"> </w:t>
      </w:r>
      <w:r w:rsidRPr="00B73094">
        <w:rPr>
          <w:rFonts w:ascii="Arial" w:eastAsia="Arial" w:hAnsi="Arial" w:cs="Arial"/>
          <w:b/>
          <w:i/>
          <w:szCs w:val="28"/>
        </w:rPr>
        <w:t>traduz afronta à reserva de administração</w:t>
      </w:r>
      <w:r w:rsidRPr="00B73094">
        <w:rPr>
          <w:rFonts w:ascii="Arial" w:eastAsia="Arial" w:hAnsi="Arial" w:cs="Arial"/>
          <w:i/>
          <w:szCs w:val="28"/>
        </w:rPr>
        <w:t>. Incompatibilidade com os artigos 5º, 47, incisos II e XIV, e 144, da Constituição do Estado de São Paulo. Inconstitucionalidade da lei impugnada. Ação procedente.</w:t>
      </w:r>
    </w:p>
    <w:p w:rsidR="004E4CB6" w:rsidRPr="00B73094" w:rsidRDefault="004E4CB6">
      <w:pPr>
        <w:pStyle w:val="normal0"/>
        <w:ind w:left="2160"/>
        <w:jc w:val="both"/>
        <w:rPr>
          <w:rFonts w:ascii="Arial" w:eastAsia="Arial" w:hAnsi="Arial" w:cs="Arial"/>
          <w:i/>
          <w:szCs w:val="28"/>
        </w:rPr>
      </w:pPr>
    </w:p>
    <w:p w:rsidR="004E4CB6" w:rsidRPr="00B73094" w:rsidRDefault="004E4CB6">
      <w:pPr>
        <w:pStyle w:val="normal0"/>
        <w:ind w:left="2160"/>
        <w:jc w:val="both"/>
        <w:rPr>
          <w:rFonts w:ascii="Arial" w:eastAsia="Arial" w:hAnsi="Arial" w:cs="Arial"/>
          <w:i/>
          <w:szCs w:val="28"/>
        </w:rPr>
      </w:pPr>
    </w:p>
    <w:p w:rsidR="004E4CB6" w:rsidRPr="00B73094" w:rsidRDefault="00474709">
      <w:pPr>
        <w:pStyle w:val="normal0"/>
        <w:ind w:left="2160"/>
        <w:jc w:val="both"/>
        <w:rPr>
          <w:rFonts w:ascii="Arial" w:eastAsia="Arial" w:hAnsi="Arial" w:cs="Arial"/>
          <w:i/>
          <w:szCs w:val="28"/>
        </w:rPr>
      </w:pPr>
      <w:r w:rsidRPr="00B73094">
        <w:rPr>
          <w:rFonts w:ascii="Arial" w:eastAsia="Arial" w:hAnsi="Arial" w:cs="Arial"/>
          <w:i/>
          <w:szCs w:val="28"/>
        </w:rPr>
        <w:lastRenderedPageBreak/>
        <w:t xml:space="preserve">DIRETA DE INCONSTITUCIONALIDADE. Lei Municipal nº 5.005, de 22 de julho de 2016, que </w:t>
      </w:r>
      <w:r w:rsidRPr="00B73094">
        <w:rPr>
          <w:rFonts w:ascii="Arial" w:eastAsia="Arial" w:hAnsi="Arial" w:cs="Arial"/>
          <w:b/>
          <w:i/>
          <w:szCs w:val="28"/>
        </w:rPr>
        <w:t>autoriza o Poder Executivo local a firmar convênio</w:t>
      </w:r>
      <w:r w:rsidRPr="00B73094">
        <w:rPr>
          <w:rFonts w:ascii="Arial" w:eastAsia="Arial" w:hAnsi="Arial" w:cs="Arial"/>
          <w:i/>
          <w:szCs w:val="28"/>
        </w:rPr>
        <w:t xml:space="preserve"> com a Associação Paulista de Educação, Cultura e Cidadania. Lei </w:t>
      </w:r>
      <w:proofErr w:type="spellStart"/>
      <w:r w:rsidRPr="00B73094">
        <w:rPr>
          <w:rFonts w:ascii="Arial" w:eastAsia="Arial" w:hAnsi="Arial" w:cs="Arial"/>
          <w:i/>
          <w:szCs w:val="28"/>
        </w:rPr>
        <w:t>autorizativa</w:t>
      </w:r>
      <w:proofErr w:type="spellEnd"/>
      <w:r w:rsidRPr="00B73094">
        <w:rPr>
          <w:rFonts w:ascii="Arial" w:eastAsia="Arial" w:hAnsi="Arial" w:cs="Arial"/>
          <w:i/>
          <w:szCs w:val="28"/>
        </w:rPr>
        <w:t xml:space="preserve"> ou de delegação que não encontra sentido no ordenamento jurídico, vez que </w:t>
      </w:r>
      <w:r w:rsidRPr="00B73094">
        <w:rPr>
          <w:rFonts w:ascii="Arial" w:eastAsia="Arial" w:hAnsi="Arial" w:cs="Arial"/>
          <w:b/>
          <w:i/>
          <w:szCs w:val="28"/>
        </w:rPr>
        <w:t xml:space="preserve">o Prefeito não precisa de autorização do Legislativo para o exercício de atos de sua exclusiva ou mesmo concorrente </w:t>
      </w:r>
      <w:proofErr w:type="gramStart"/>
      <w:r w:rsidRPr="00B73094">
        <w:rPr>
          <w:rFonts w:ascii="Arial" w:eastAsia="Arial" w:hAnsi="Arial" w:cs="Arial"/>
          <w:b/>
          <w:i/>
          <w:szCs w:val="28"/>
        </w:rPr>
        <w:t>competência</w:t>
      </w:r>
      <w:r w:rsidRPr="00B73094">
        <w:rPr>
          <w:rFonts w:ascii="Arial" w:eastAsia="Arial" w:hAnsi="Arial" w:cs="Arial"/>
          <w:i/>
          <w:szCs w:val="28"/>
        </w:rPr>
        <w:t xml:space="preserve"> .</w:t>
      </w:r>
      <w:proofErr w:type="gramEnd"/>
      <w:r w:rsidRPr="00B73094">
        <w:rPr>
          <w:rFonts w:ascii="Arial" w:eastAsia="Arial" w:hAnsi="Arial" w:cs="Arial"/>
          <w:i/>
          <w:szCs w:val="28"/>
        </w:rPr>
        <w:t xml:space="preserve"> Violação flagrante à separação de Poderes (art. 5º, CE). Inconstitucionalidade declarada neste ponto. Por conseguinte, com a retirada da norma do ordenamento, desnecessária a análise da alegação subsidiária de inconstitucionalidade por falta de previsão </w:t>
      </w:r>
      <w:proofErr w:type="gramStart"/>
      <w:r w:rsidRPr="00B73094">
        <w:rPr>
          <w:rFonts w:ascii="Arial" w:eastAsia="Arial" w:hAnsi="Arial" w:cs="Arial"/>
          <w:i/>
          <w:szCs w:val="28"/>
        </w:rPr>
        <w:t>orçamentária .</w:t>
      </w:r>
      <w:proofErr w:type="gramEnd"/>
      <w:r w:rsidRPr="00B73094">
        <w:rPr>
          <w:rFonts w:ascii="Arial" w:eastAsia="Arial" w:hAnsi="Arial" w:cs="Arial"/>
          <w:i/>
          <w:szCs w:val="28"/>
        </w:rPr>
        <w:t xml:space="preserve"> Doutrina e jurisprudência (do STF e deste Órgão Especial). AÇÃO PROCEDENTE. (TJ-SP - ADI: 22519532920168260000 SP 2251953-</w:t>
      </w:r>
      <w:proofErr w:type="gramStart"/>
      <w:r w:rsidRPr="00B73094">
        <w:rPr>
          <w:rFonts w:ascii="Arial" w:eastAsia="Arial" w:hAnsi="Arial" w:cs="Arial"/>
          <w:i/>
          <w:szCs w:val="28"/>
        </w:rPr>
        <w:t>29.2016 .</w:t>
      </w:r>
      <w:proofErr w:type="gramEnd"/>
      <w:r w:rsidRPr="00B73094">
        <w:rPr>
          <w:rFonts w:ascii="Arial" w:eastAsia="Arial" w:hAnsi="Arial" w:cs="Arial"/>
          <w:i/>
          <w:szCs w:val="28"/>
        </w:rPr>
        <w:t xml:space="preserve">8.26.0000, Relator.: </w:t>
      </w:r>
      <w:proofErr w:type="spellStart"/>
      <w:r w:rsidRPr="00B73094">
        <w:rPr>
          <w:rFonts w:ascii="Arial" w:eastAsia="Arial" w:hAnsi="Arial" w:cs="Arial"/>
          <w:i/>
          <w:szCs w:val="28"/>
        </w:rPr>
        <w:t>Beretta</w:t>
      </w:r>
      <w:proofErr w:type="spellEnd"/>
      <w:r w:rsidRPr="00B73094">
        <w:rPr>
          <w:rFonts w:ascii="Arial" w:eastAsia="Arial" w:hAnsi="Arial" w:cs="Arial"/>
          <w:i/>
          <w:szCs w:val="28"/>
        </w:rPr>
        <w:t xml:space="preserve"> da Silveira, Data de Julgamento: 05/04/2017, Órgão Especial, Data de Publicação: 06/04/2017)</w:t>
      </w:r>
    </w:p>
    <w:p w:rsidR="004E4CB6" w:rsidRDefault="004E4CB6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ab/>
        <w:t>Termos em que, lanço a</w:t>
      </w:r>
      <w:r w:rsidR="00B73094"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z w:val="28"/>
          <w:szCs w:val="28"/>
        </w:rPr>
        <w:t xml:space="preserve"> competente</w:t>
      </w:r>
      <w:r w:rsidR="00B73094"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z w:val="28"/>
          <w:szCs w:val="28"/>
        </w:rPr>
        <w:t xml:space="preserve"> ressalva</w:t>
      </w:r>
      <w:r w:rsidR="00B73094"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z w:val="28"/>
          <w:szCs w:val="28"/>
        </w:rPr>
        <w:t xml:space="preserve"> ao texto dos artigos 3º, 4º, 5º, 6º e 7º da proposição em comento.</w:t>
      </w:r>
    </w:p>
    <w:p w:rsidR="004E4CB6" w:rsidRDefault="00474709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Não obstante, registramos, caso a proposição prossiga, a deliberação pelo plenário da nobre Casa Legislativa deve ser precedida da manifestação das seguintes comissões permanentes:</w:t>
      </w:r>
    </w:p>
    <w:p w:rsidR="004E4CB6" w:rsidRDefault="00474709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b/>
          <w:sz w:val="28"/>
          <w:szCs w:val="28"/>
        </w:rPr>
        <w:t>LEGISLAÇÃO E JUSTIÇA</w:t>
      </w:r>
      <w:r>
        <w:rPr>
          <w:rFonts w:ascii="Arial" w:eastAsia="Arial" w:hAnsi="Arial" w:cs="Arial"/>
          <w:sz w:val="28"/>
          <w:szCs w:val="28"/>
        </w:rPr>
        <w:t>, por ser condição de tramitação do processo legislativo para todas as proposições em geral:</w:t>
      </w:r>
    </w:p>
    <w:p w:rsidR="004E4CB6" w:rsidRDefault="004E4CB6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§ 1º- Salvo expressa disposição em contrário deste Regimento, é obrigatória a audiência da Comissão de Legislação e Justiça em todos os projetos de lei e determinadas matérias que tramitarem pela Câmara.</w:t>
      </w:r>
    </w:p>
    <w:p w:rsidR="004E4CB6" w:rsidRDefault="004E4CB6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b) </w:t>
      </w:r>
      <w:r>
        <w:rPr>
          <w:rFonts w:ascii="Arial" w:eastAsia="Arial" w:hAnsi="Arial" w:cs="Arial"/>
          <w:b/>
          <w:sz w:val="28"/>
          <w:szCs w:val="28"/>
        </w:rPr>
        <w:t>EDUCAÇÃO</w:t>
      </w:r>
      <w:r>
        <w:rPr>
          <w:rFonts w:ascii="Arial" w:eastAsia="Arial" w:hAnsi="Arial" w:cs="Arial"/>
          <w:sz w:val="28"/>
          <w:szCs w:val="28"/>
        </w:rPr>
        <w:t xml:space="preserve">, área de atuação do poder </w:t>
      </w:r>
      <w:proofErr w:type="gramStart"/>
      <w:r>
        <w:rPr>
          <w:rFonts w:ascii="Arial" w:eastAsia="Arial" w:hAnsi="Arial" w:cs="Arial"/>
          <w:sz w:val="28"/>
          <w:szCs w:val="28"/>
        </w:rPr>
        <w:t>público relacionada no corpo do art.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1º da proposição:</w:t>
      </w:r>
    </w:p>
    <w:p w:rsidR="004E4CB6" w:rsidRDefault="00474709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79- O assuntos relativos à Educação, Saúde e Ação Social e Meio Ambiente são atribuídos às Comissões relacionadas neste Artigo: (...) § 1º- À Comissão de Educação e Cultura compete manifestar-se em todos os projetos e matérias que versem sobre assuntos educacionais, artísticos, inclusive patrimônio histórico e turístico;</w:t>
      </w:r>
    </w:p>
    <w:p w:rsidR="004E4CB6" w:rsidRDefault="00474709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</w:t>
      </w:r>
      <w:r>
        <w:rPr>
          <w:rFonts w:ascii="Arial" w:eastAsia="Arial" w:hAnsi="Arial" w:cs="Arial"/>
          <w:b/>
          <w:sz w:val="28"/>
          <w:szCs w:val="28"/>
        </w:rPr>
        <w:t>SAÚDE, AÇÃO SOCIAL,</w:t>
      </w:r>
      <w:r>
        <w:rPr>
          <w:rFonts w:ascii="Arial" w:eastAsia="Arial" w:hAnsi="Arial" w:cs="Arial"/>
          <w:sz w:val="28"/>
          <w:szCs w:val="28"/>
        </w:rPr>
        <w:t xml:space="preserve"> área de atuação do poder </w:t>
      </w:r>
      <w:proofErr w:type="gramStart"/>
      <w:r>
        <w:rPr>
          <w:rFonts w:ascii="Arial" w:eastAsia="Arial" w:hAnsi="Arial" w:cs="Arial"/>
          <w:sz w:val="28"/>
          <w:szCs w:val="28"/>
        </w:rPr>
        <w:t>público relacionada no corpo do art.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1º da proposição:</w:t>
      </w:r>
    </w:p>
    <w:p w:rsidR="004E4CB6" w:rsidRDefault="00474709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4E4CB6" w:rsidRDefault="00474709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Art.79 (...) § 2º- À </w:t>
      </w:r>
      <w:r>
        <w:rPr>
          <w:rFonts w:ascii="Arial" w:eastAsia="Arial" w:hAnsi="Arial" w:cs="Arial"/>
          <w:b/>
          <w:sz w:val="28"/>
          <w:szCs w:val="28"/>
        </w:rPr>
        <w:t>Comissão de Saúde</w:t>
      </w:r>
      <w:r>
        <w:rPr>
          <w:rFonts w:ascii="Arial" w:eastAsia="Arial" w:hAnsi="Arial" w:cs="Arial"/>
          <w:sz w:val="28"/>
          <w:szCs w:val="28"/>
        </w:rPr>
        <w:t>, Ação Social e Meio Ambiente compete manifestar-se em todos os projetos e matérias que versem sobre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desportos e assuntos relacionados com saúde, saneamento, cultura, meio ambiente, criança, adolescente, idoso e </w:t>
      </w:r>
      <w:r>
        <w:rPr>
          <w:rFonts w:ascii="Arial" w:eastAsia="Arial" w:hAnsi="Arial" w:cs="Arial"/>
          <w:b/>
          <w:sz w:val="28"/>
          <w:szCs w:val="28"/>
        </w:rPr>
        <w:t xml:space="preserve">assistência e </w:t>
      </w:r>
      <w:r>
        <w:rPr>
          <w:rFonts w:ascii="Arial" w:eastAsia="Arial" w:hAnsi="Arial" w:cs="Arial"/>
          <w:sz w:val="28"/>
          <w:szCs w:val="28"/>
        </w:rPr>
        <w:t>Previdência</w:t>
      </w:r>
      <w:r>
        <w:rPr>
          <w:rFonts w:ascii="Arial" w:eastAsia="Arial" w:hAnsi="Arial" w:cs="Arial"/>
          <w:b/>
          <w:sz w:val="28"/>
          <w:szCs w:val="28"/>
        </w:rPr>
        <w:t xml:space="preserve"> social em geral.</w:t>
      </w:r>
      <w:r>
        <w:rPr>
          <w:rFonts w:ascii="Arial" w:eastAsia="Arial" w:hAnsi="Arial" w:cs="Arial"/>
          <w:sz w:val="28"/>
          <w:szCs w:val="28"/>
        </w:rPr>
        <w:t xml:space="preserve"> (Modificado pela Resolução Plenária nº 404, de 14 de março de 2006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)</w:t>
      </w:r>
      <w:proofErr w:type="gramEnd"/>
    </w:p>
    <w:p w:rsidR="004E4CB6" w:rsidRDefault="004E4CB6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4E4CB6" w:rsidRDefault="004E4CB6">
      <w:pPr>
        <w:pStyle w:val="normal0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e jurisprudenciais apresentados acima, encaminhamos o expediente ao opinando pela </w:t>
      </w:r>
      <w:r>
        <w:rPr>
          <w:rFonts w:ascii="Arial" w:eastAsia="Arial" w:hAnsi="Arial" w:cs="Arial"/>
          <w:b/>
          <w:sz w:val="28"/>
          <w:szCs w:val="28"/>
        </w:rPr>
        <w:t>inviabilidade de tramitação</w:t>
      </w:r>
      <w:r>
        <w:rPr>
          <w:rFonts w:ascii="Arial" w:eastAsia="Arial" w:hAnsi="Arial" w:cs="Arial"/>
          <w:sz w:val="28"/>
          <w:szCs w:val="28"/>
        </w:rPr>
        <w:t xml:space="preserve">, tendo em vista que a matéria (criação de programa de governo) em que pese se vislumbre </w:t>
      </w:r>
      <w:proofErr w:type="gramStart"/>
      <w:r>
        <w:rPr>
          <w:rFonts w:ascii="Arial" w:eastAsia="Arial" w:hAnsi="Arial" w:cs="Arial"/>
          <w:sz w:val="28"/>
          <w:szCs w:val="28"/>
        </w:rPr>
        <w:t>estar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ao alcance do poder de iniciativa parlamentar verificou-se </w:t>
      </w:r>
      <w:r>
        <w:rPr>
          <w:rFonts w:ascii="Arial" w:eastAsia="Arial" w:hAnsi="Arial" w:cs="Arial"/>
          <w:b/>
          <w:sz w:val="28"/>
          <w:szCs w:val="28"/>
        </w:rPr>
        <w:t xml:space="preserve">inconsistências no texto dos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arts</w:t>
      </w:r>
      <w:proofErr w:type="spellEnd"/>
      <w:r>
        <w:rPr>
          <w:rFonts w:ascii="Arial" w:eastAsia="Arial" w:hAnsi="Arial" w:cs="Arial"/>
          <w:b/>
          <w:sz w:val="28"/>
          <w:szCs w:val="28"/>
        </w:rPr>
        <w:t>. 3º, 4º, 5º, 6º e 7º, nos termos acima lançados, vislumbrando-se nestes artigos a ocorrência de violação ao princípio da separação dos poderes.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4E4CB6" w:rsidRDefault="004E4CB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Ressalva-se como sugestão ao autor, o encaminhamento do respectivo projeto de lei como indicação ao Poder Executivo para fins de </w:t>
      </w:r>
      <w:r>
        <w:rPr>
          <w:rFonts w:ascii="Arial" w:eastAsia="Arial" w:hAnsi="Arial" w:cs="Arial"/>
          <w:sz w:val="28"/>
          <w:szCs w:val="28"/>
        </w:rPr>
        <w:lastRenderedPageBreak/>
        <w:t>análise e aplicação do que se requer sem perder a sua essência enquanto projeto de lei.</w:t>
      </w:r>
    </w:p>
    <w:p w:rsidR="004E4CB6" w:rsidRDefault="004E4CB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Destaco, </w:t>
      </w:r>
      <w:proofErr w:type="gramStart"/>
      <w:r>
        <w:rPr>
          <w:rFonts w:ascii="Arial" w:eastAsia="Arial" w:hAnsi="Arial" w:cs="Arial"/>
          <w:sz w:val="28"/>
          <w:szCs w:val="28"/>
        </w:rPr>
        <w:t>outrossim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, que o presente parecer tem natureza opinativa e não vincula a decisão das comissões. </w:t>
      </w:r>
    </w:p>
    <w:p w:rsidR="004E4CB6" w:rsidRDefault="004E4CB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Encaminho os autos à DIRETORIA LEGISLATIVA para as devidas diligências.</w:t>
      </w:r>
    </w:p>
    <w:p w:rsidR="004E4CB6" w:rsidRDefault="00474709">
      <w:pPr>
        <w:pStyle w:val="normal0"/>
        <w:spacing w:line="360" w:lineRule="auto"/>
        <w:ind w:firstLine="70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18 de junho de 2025.</w:t>
      </w:r>
    </w:p>
    <w:p w:rsidR="004E4CB6" w:rsidRDefault="004E4CB6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4E4CB6" w:rsidRDefault="004E4CB6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4E4CB6" w:rsidRDefault="004E4CB6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4E4CB6" w:rsidRDefault="00474709">
      <w:pPr>
        <w:pStyle w:val="normal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4E4CB6" w:rsidRDefault="00474709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4E4CB6" w:rsidRDefault="00474709">
      <w:pPr>
        <w:pStyle w:val="normal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4E4CB6" w:rsidSect="004E4CB6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C0D" w:rsidRDefault="00297C0D" w:rsidP="004E4CB6">
      <w:r>
        <w:separator/>
      </w:r>
    </w:p>
  </w:endnote>
  <w:endnote w:type="continuationSeparator" w:id="0">
    <w:p w:rsidR="00297C0D" w:rsidRDefault="00297C0D" w:rsidP="004E4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C0D" w:rsidRDefault="00297C0D" w:rsidP="004E4CB6">
      <w:r>
        <w:separator/>
      </w:r>
    </w:p>
  </w:footnote>
  <w:footnote w:type="continuationSeparator" w:id="0">
    <w:p w:rsidR="00297C0D" w:rsidRDefault="00297C0D" w:rsidP="004E4C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CB6" w:rsidRDefault="00474709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4E4CB6" w:rsidRDefault="00474709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4E4CB6" w:rsidRDefault="00474709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4E4CB6" w:rsidRDefault="004E4CB6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21BD6"/>
    <w:multiLevelType w:val="multilevel"/>
    <w:tmpl w:val="4C42D1C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>
    <w:nsid w:val="31F2430D"/>
    <w:multiLevelType w:val="multilevel"/>
    <w:tmpl w:val="36781E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4CB6"/>
    <w:rsid w:val="00232E0E"/>
    <w:rsid w:val="00297C0D"/>
    <w:rsid w:val="003329FA"/>
    <w:rsid w:val="00474709"/>
    <w:rsid w:val="004E4CB6"/>
    <w:rsid w:val="007957AE"/>
    <w:rsid w:val="00A3153D"/>
    <w:rsid w:val="00B73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53D"/>
  </w:style>
  <w:style w:type="paragraph" w:styleId="Ttulo1">
    <w:name w:val="heading 1"/>
    <w:basedOn w:val="normal0"/>
    <w:next w:val="normal0"/>
    <w:rsid w:val="004E4CB6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4E4CB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4E4CB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4E4CB6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4E4CB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4E4CB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4E4CB6"/>
  </w:style>
  <w:style w:type="table" w:customStyle="1" w:styleId="TableNormal">
    <w:name w:val="TableNormal"/>
    <w:rsid w:val="004E4CB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4E4CB6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4E4CB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1946</Words>
  <Characters>10510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3</cp:revision>
  <dcterms:created xsi:type="dcterms:W3CDTF">2025-06-18T11:51:00Z</dcterms:created>
  <dcterms:modified xsi:type="dcterms:W3CDTF">2025-06-18T12:34:00Z</dcterms:modified>
</cp:coreProperties>
</file>