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84" w:rsidRDefault="00C1073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019/2025</w:t>
      </w:r>
    </w:p>
    <w:p w:rsidR="00A77684" w:rsidRDefault="00C1073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28097</w:t>
      </w:r>
    </w:p>
    <w:p w:rsidR="00A77684" w:rsidRDefault="00C1073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Requerente: Ver. Ricardo Valim</w:t>
      </w:r>
    </w:p>
    <w:p w:rsidR="00A77684" w:rsidRDefault="00C1073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 Projeto de Lei do Legislativo (PLL)</w:t>
      </w:r>
    </w:p>
    <w:p w:rsidR="00A77684" w:rsidRDefault="00C1073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16/06/2025.</w:t>
      </w:r>
    </w:p>
    <w:p w:rsidR="00A77684" w:rsidRDefault="00A77684">
      <w:pPr>
        <w:pStyle w:val="normal0"/>
        <w:jc w:val="center"/>
        <w:rPr>
          <w:rFonts w:ascii="Arial" w:eastAsia="Arial" w:hAnsi="Arial" w:cs="Arial"/>
          <w:sz w:val="30"/>
          <w:szCs w:val="30"/>
        </w:rPr>
      </w:pPr>
    </w:p>
    <w:p w:rsidR="00A77684" w:rsidRDefault="00C1073D">
      <w:pPr>
        <w:pStyle w:val="normal0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b/>
          <w:sz w:val="30"/>
          <w:szCs w:val="30"/>
        </w:rPr>
        <w:t>RELATÓRIO</w:t>
      </w:r>
    </w:p>
    <w:p w:rsidR="00A77684" w:rsidRDefault="00A77684">
      <w:pPr>
        <w:pStyle w:val="normal0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8"/>
          <w:szCs w:val="28"/>
        </w:rPr>
        <w:t>Edil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 assento nesta nobre Casa Legislativa, que solicita aprovação do Colendo Plenário para Projeto de Lei que </w:t>
      </w:r>
      <w:r>
        <w:rPr>
          <w:rFonts w:ascii="Arial" w:eastAsia="Arial" w:hAnsi="Arial" w:cs="Arial"/>
          <w:b/>
          <w:sz w:val="28"/>
          <w:szCs w:val="28"/>
        </w:rPr>
        <w:t>“</w:t>
      </w:r>
      <w:r>
        <w:rPr>
          <w:rFonts w:ascii="Arial" w:eastAsia="Arial" w:hAnsi="Arial" w:cs="Arial"/>
          <w:b/>
          <w:i/>
          <w:sz w:val="28"/>
          <w:szCs w:val="28"/>
        </w:rPr>
        <w:t xml:space="preserve">Dispõe sobre o Programa de Prevenção e Combate à Dengue e institui o Método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Wolbachia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 xml:space="preserve"> como </w:t>
      </w:r>
      <w:r>
        <w:rPr>
          <w:rFonts w:ascii="Arial" w:eastAsia="Arial" w:hAnsi="Arial" w:cs="Arial"/>
          <w:b/>
          <w:i/>
          <w:sz w:val="28"/>
          <w:szCs w:val="28"/>
        </w:rPr>
        <w:t xml:space="preserve">diretriz complementar de controle biológico de combate ao mosquito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Aedes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aegypti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>, transmissor da dengue e de outras doenças no âmbito da cidade de Sapucaia do Sul.</w:t>
      </w:r>
      <w:r>
        <w:rPr>
          <w:rFonts w:ascii="Arial" w:eastAsia="Arial" w:hAnsi="Arial" w:cs="Arial"/>
          <w:b/>
          <w:sz w:val="28"/>
          <w:szCs w:val="28"/>
        </w:rPr>
        <w:t>”.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A77684" w:rsidRDefault="00A7768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ind w:firstLine="85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Constam dos autos eletrônicos os seguintes documentos:</w:t>
      </w:r>
    </w:p>
    <w:p w:rsidR="00A77684" w:rsidRDefault="00A7768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87875 (página única);</w:t>
      </w:r>
    </w:p>
    <w:p w:rsidR="00A77684" w:rsidRDefault="00A7768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ind w:firstLine="425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Breve </w:t>
      </w:r>
      <w:r>
        <w:rPr>
          <w:rFonts w:ascii="Arial" w:eastAsia="Arial" w:hAnsi="Arial" w:cs="Arial"/>
          <w:sz w:val="28"/>
          <w:szCs w:val="28"/>
        </w:rPr>
        <w:t>é o relatório.</w:t>
      </w:r>
    </w:p>
    <w:p w:rsidR="00A77684" w:rsidRDefault="00A77684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PARECER</w:t>
      </w:r>
    </w:p>
    <w:p w:rsidR="00A77684" w:rsidRDefault="00A77684">
      <w:pPr>
        <w:pStyle w:val="normal0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 competência legislativa municipal está prevista no artigo 30, inciso I, da Constituição Federal, que autoriza os municípios a legislarem sobre assuntos de interesse local. </w:t>
      </w:r>
      <w:r>
        <w:rPr>
          <w:rFonts w:ascii="Arial" w:eastAsia="Arial" w:hAnsi="Arial" w:cs="Arial"/>
          <w:sz w:val="28"/>
          <w:szCs w:val="28"/>
        </w:rPr>
        <w:t>Além disso, o inciso II do mesmo artigo permite a suple</w:t>
      </w:r>
      <w:r>
        <w:rPr>
          <w:rFonts w:ascii="Arial" w:eastAsia="Arial" w:hAnsi="Arial" w:cs="Arial"/>
          <w:sz w:val="28"/>
          <w:szCs w:val="28"/>
        </w:rPr>
        <w:t>mentação da legislação federal e estadual.</w:t>
      </w:r>
    </w:p>
    <w:p w:rsidR="00A77684" w:rsidRDefault="00A77684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No âmbito da saúde pública, os municípios possuem </w:t>
      </w:r>
      <w:proofErr w:type="gramStart"/>
      <w:r>
        <w:rPr>
          <w:rFonts w:ascii="Arial" w:eastAsia="Arial" w:hAnsi="Arial" w:cs="Arial"/>
          <w:sz w:val="28"/>
          <w:szCs w:val="28"/>
        </w:rPr>
        <w:t>autonomia para regulamentar medidas voltadas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à prevenção e controle de doenças, desde que respeitem as diretrizes estabelecidas pela União e pelos Estados, matéria que é tratada no âmbito dos </w:t>
      </w:r>
      <w:r>
        <w:rPr>
          <w:rFonts w:ascii="Arial" w:eastAsia="Arial" w:hAnsi="Arial" w:cs="Arial"/>
          <w:i/>
          <w:sz w:val="28"/>
          <w:szCs w:val="28"/>
        </w:rPr>
        <w:t>dois primeiros</w:t>
      </w:r>
      <w:r>
        <w:rPr>
          <w:rFonts w:ascii="Arial" w:eastAsia="Arial" w:hAnsi="Arial" w:cs="Arial"/>
          <w:i/>
          <w:sz w:val="28"/>
          <w:szCs w:val="28"/>
        </w:rPr>
        <w:t xml:space="preserve"> artigos do projeto de lei em comento</w:t>
      </w:r>
      <w:r>
        <w:rPr>
          <w:rFonts w:ascii="Arial" w:eastAsia="Arial" w:hAnsi="Arial" w:cs="Arial"/>
          <w:sz w:val="28"/>
          <w:szCs w:val="28"/>
        </w:rPr>
        <w:t xml:space="preserve">. Entretanto, convém ressaltar que são matérias que envolvem avaliações científicas especializadas, como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o impacto biológico e epidemiológico do Método </w:t>
      </w:r>
      <w:proofErr w:type="spellStart"/>
      <w:r>
        <w:rPr>
          <w:rFonts w:ascii="Arial" w:eastAsia="Arial" w:hAnsi="Arial" w:cs="Arial"/>
          <w:sz w:val="28"/>
          <w:szCs w:val="28"/>
        </w:rPr>
        <w:t>Wolbachia</w:t>
      </w:r>
      <w:proofErr w:type="spellEnd"/>
      <w:r>
        <w:rPr>
          <w:rFonts w:ascii="Arial" w:eastAsia="Arial" w:hAnsi="Arial" w:cs="Arial"/>
          <w:sz w:val="28"/>
          <w:szCs w:val="28"/>
        </w:rPr>
        <w:t>, portanto, exigem respaldo técnico de órgãos competentes,</w:t>
      </w:r>
      <w:r>
        <w:rPr>
          <w:rFonts w:ascii="Arial" w:eastAsia="Arial" w:hAnsi="Arial" w:cs="Arial"/>
          <w:sz w:val="28"/>
          <w:szCs w:val="28"/>
        </w:rPr>
        <w:t xml:space="preserve"> como o Ministério da Saúde e a Fiocruz.</w:t>
      </w:r>
    </w:p>
    <w:p w:rsidR="00A77684" w:rsidRDefault="00A77684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Dito isso, muito embora a Procuradoria Legislativa tenha atribuição para analisar a legalidade e constitucionalidade das proposições normativas, </w:t>
      </w:r>
      <w:r>
        <w:rPr>
          <w:rFonts w:ascii="Arial" w:eastAsia="Arial" w:hAnsi="Arial" w:cs="Arial"/>
          <w:b/>
          <w:sz w:val="28"/>
          <w:szCs w:val="28"/>
          <w:u w:val="single"/>
        </w:rPr>
        <w:t>não dispõe de expertise científica para avaliar os possíveis impactos</w:t>
      </w:r>
      <w:r>
        <w:rPr>
          <w:rFonts w:ascii="Arial" w:eastAsia="Arial" w:hAnsi="Arial" w:cs="Arial"/>
          <w:b/>
          <w:sz w:val="28"/>
          <w:szCs w:val="28"/>
          <w:u w:val="single"/>
        </w:rPr>
        <w:t xml:space="preserve"> epidemiológicos e biológicos da aplicação do Método </w:t>
      </w:r>
      <w:proofErr w:type="spellStart"/>
      <w:r>
        <w:rPr>
          <w:rFonts w:ascii="Arial" w:eastAsia="Arial" w:hAnsi="Arial" w:cs="Arial"/>
          <w:b/>
          <w:sz w:val="28"/>
          <w:szCs w:val="28"/>
          <w:u w:val="single"/>
        </w:rPr>
        <w:t>Wolbachia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. 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formulação de leis sobre essa matéria requer estudos técnicos aprofundados, que extrapolam o conhecimento jurídico e demandam pareceres de especialistas na área da saúde pública e biotecnologia.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Nesse aspecto, ficam lançadas competentes </w:t>
      </w:r>
      <w:r>
        <w:rPr>
          <w:rFonts w:ascii="Arial" w:eastAsia="Arial" w:hAnsi="Arial" w:cs="Arial"/>
          <w:b/>
          <w:sz w:val="28"/>
          <w:szCs w:val="28"/>
          <w:u w:val="single"/>
        </w:rPr>
        <w:t>ressalvas</w:t>
      </w:r>
      <w:r>
        <w:rPr>
          <w:rFonts w:ascii="Arial" w:eastAsia="Arial" w:hAnsi="Arial" w:cs="Arial"/>
          <w:sz w:val="28"/>
          <w:szCs w:val="28"/>
        </w:rPr>
        <w:t>.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Pr="0084262E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No m</w:t>
      </w:r>
      <w:r>
        <w:rPr>
          <w:rFonts w:ascii="Arial" w:eastAsia="Arial" w:hAnsi="Arial" w:cs="Arial"/>
          <w:sz w:val="28"/>
          <w:szCs w:val="28"/>
        </w:rPr>
        <w:t xml:space="preserve">ais, adentrando propriamente ao mérito constitucional dos demais dispositivos constantes da proposição em análise, reiterando posicionamento já sedimentado neste órgão técnico jurídico, quando o projeto de iniciativa parlamentar concede </w:t>
      </w:r>
      <w:r>
        <w:rPr>
          <w:rFonts w:ascii="Arial" w:eastAsia="Arial" w:hAnsi="Arial" w:cs="Arial"/>
          <w:b/>
          <w:sz w:val="28"/>
          <w:szCs w:val="28"/>
          <w:u w:val="single"/>
        </w:rPr>
        <w:t>autorização não sol</w:t>
      </w:r>
      <w:r>
        <w:rPr>
          <w:rFonts w:ascii="Arial" w:eastAsia="Arial" w:hAnsi="Arial" w:cs="Arial"/>
          <w:b/>
          <w:sz w:val="28"/>
          <w:szCs w:val="28"/>
          <w:u w:val="single"/>
        </w:rPr>
        <w:t>icitada</w:t>
      </w:r>
      <w:r>
        <w:rPr>
          <w:rFonts w:ascii="Arial" w:eastAsia="Arial" w:hAnsi="Arial" w:cs="Arial"/>
          <w:sz w:val="28"/>
          <w:szCs w:val="28"/>
        </w:rPr>
        <w:t xml:space="preserve"> ao Poder Executivo para a prática de atos para os quais o mesmo já detém competência exclusiva ou concorrente, </w:t>
      </w:r>
      <w:r w:rsidRPr="0084262E">
        <w:rPr>
          <w:rFonts w:ascii="Arial" w:eastAsia="Arial" w:hAnsi="Arial" w:cs="Arial"/>
          <w:b/>
          <w:sz w:val="28"/>
          <w:szCs w:val="28"/>
        </w:rPr>
        <w:t xml:space="preserve">incorre em </w:t>
      </w:r>
      <w:r w:rsidRPr="0084262E">
        <w:rPr>
          <w:rFonts w:ascii="Arial" w:eastAsia="Arial" w:hAnsi="Arial" w:cs="Arial"/>
          <w:b/>
          <w:i/>
          <w:sz w:val="28"/>
          <w:szCs w:val="28"/>
        </w:rPr>
        <w:t>inconstitucionalidade formal</w:t>
      </w:r>
      <w:r w:rsidRPr="0084262E">
        <w:rPr>
          <w:rFonts w:ascii="Arial" w:eastAsia="Arial" w:hAnsi="Arial" w:cs="Arial"/>
          <w:b/>
          <w:sz w:val="28"/>
          <w:szCs w:val="28"/>
        </w:rPr>
        <w:t xml:space="preserve">. 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Nesse sentido</w:t>
      </w:r>
    </w:p>
    <w:p w:rsidR="00A77684" w:rsidRDefault="00A77684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Pr="00C174F0" w:rsidRDefault="00C1073D">
      <w:pPr>
        <w:pStyle w:val="normal0"/>
        <w:ind w:left="216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 xml:space="preserve">Ação Direta de Inconstitucionalidade. Lei Municipal nº 1.960, de 04 de outubro </w:t>
      </w:r>
      <w:r w:rsidRPr="00C174F0">
        <w:rPr>
          <w:rFonts w:ascii="Arial" w:eastAsia="Arial" w:hAnsi="Arial" w:cs="Arial"/>
          <w:szCs w:val="28"/>
        </w:rPr>
        <w:t xml:space="preserve">de 2014, que autoriza o Executivo a criar Base da Guarda Civil Municipal em bairro determinado. Instituição subordinada ao Chefe do Poder Executivo local. Lei questionada </w:t>
      </w:r>
      <w:r w:rsidRPr="00C174F0">
        <w:rPr>
          <w:rFonts w:ascii="Arial" w:eastAsia="Arial" w:hAnsi="Arial" w:cs="Arial"/>
          <w:szCs w:val="28"/>
        </w:rPr>
        <w:lastRenderedPageBreak/>
        <w:t>que indica a maneira pela qual deve o Executivo executar a política de segurança loca</w:t>
      </w:r>
      <w:r w:rsidRPr="00C174F0">
        <w:rPr>
          <w:rFonts w:ascii="Arial" w:eastAsia="Arial" w:hAnsi="Arial" w:cs="Arial"/>
          <w:szCs w:val="28"/>
        </w:rPr>
        <w:t xml:space="preserve">l. Vício formal de iniciativa. Lei de iniciativa parlamentar que usurpou atribuição do Chefe do Poder Executivo, violando o princípio de separação e harmonia entre os poderes. </w:t>
      </w:r>
      <w:r w:rsidRPr="00C174F0">
        <w:rPr>
          <w:rFonts w:ascii="Arial" w:eastAsia="Arial" w:hAnsi="Arial" w:cs="Arial"/>
          <w:b/>
          <w:szCs w:val="28"/>
        </w:rPr>
        <w:t xml:space="preserve">Lei </w:t>
      </w:r>
      <w:proofErr w:type="spellStart"/>
      <w:r w:rsidRPr="00C174F0">
        <w:rPr>
          <w:rFonts w:ascii="Arial" w:eastAsia="Arial" w:hAnsi="Arial" w:cs="Arial"/>
          <w:b/>
          <w:szCs w:val="28"/>
        </w:rPr>
        <w:t>autorizativa</w:t>
      </w:r>
      <w:proofErr w:type="spellEnd"/>
      <w:r w:rsidRPr="00C174F0">
        <w:rPr>
          <w:rFonts w:ascii="Arial" w:eastAsia="Arial" w:hAnsi="Arial" w:cs="Arial"/>
          <w:b/>
          <w:szCs w:val="28"/>
        </w:rPr>
        <w:t xml:space="preserve"> do Poder Legislativo para o desempenho de atos de exclusiva com</w:t>
      </w:r>
      <w:r w:rsidRPr="00C174F0">
        <w:rPr>
          <w:rFonts w:ascii="Arial" w:eastAsia="Arial" w:hAnsi="Arial" w:cs="Arial"/>
          <w:b/>
          <w:szCs w:val="28"/>
        </w:rPr>
        <w:t>petência do Poder Executivo</w:t>
      </w:r>
      <w:r w:rsidRPr="00C174F0">
        <w:rPr>
          <w:rFonts w:ascii="Arial" w:eastAsia="Arial" w:hAnsi="Arial" w:cs="Arial"/>
          <w:szCs w:val="28"/>
        </w:rPr>
        <w:t xml:space="preserve"> </w:t>
      </w:r>
      <w:r w:rsidRPr="00C174F0">
        <w:rPr>
          <w:rFonts w:ascii="Arial" w:eastAsia="Arial" w:hAnsi="Arial" w:cs="Arial"/>
          <w:b/>
          <w:szCs w:val="28"/>
        </w:rPr>
        <w:t>traduz afronta à reserva de administração</w:t>
      </w:r>
      <w:r w:rsidRPr="00C174F0">
        <w:rPr>
          <w:rFonts w:ascii="Arial" w:eastAsia="Arial" w:hAnsi="Arial" w:cs="Arial"/>
          <w:szCs w:val="28"/>
        </w:rPr>
        <w:t>. Incompatibilidade com os artigos 5º, 47, incisos II e XIV, e 144, da Constituição do Estado de São Paulo. Inconstitucionalidade da lei impugnada. Ação procedente. DIRETA DE INCONSTITUCI</w:t>
      </w:r>
      <w:r w:rsidRPr="00C174F0">
        <w:rPr>
          <w:rFonts w:ascii="Arial" w:eastAsia="Arial" w:hAnsi="Arial" w:cs="Arial"/>
          <w:szCs w:val="28"/>
        </w:rPr>
        <w:t xml:space="preserve">ONALIDADE. Lei Municipal nº 5.005, de 22 de julho de 2016, que </w:t>
      </w:r>
      <w:r w:rsidRPr="00C174F0">
        <w:rPr>
          <w:rFonts w:ascii="Arial" w:eastAsia="Arial" w:hAnsi="Arial" w:cs="Arial"/>
          <w:b/>
          <w:szCs w:val="28"/>
        </w:rPr>
        <w:t>autoriza o Poder Executivo local a firmar convênio</w:t>
      </w:r>
      <w:r w:rsidRPr="00C174F0">
        <w:rPr>
          <w:rFonts w:ascii="Arial" w:eastAsia="Arial" w:hAnsi="Arial" w:cs="Arial"/>
          <w:szCs w:val="28"/>
        </w:rPr>
        <w:t xml:space="preserve"> com a Associação Paulista de Educação, Cultura e Cidadania. Lei </w:t>
      </w:r>
      <w:proofErr w:type="spellStart"/>
      <w:r w:rsidRPr="00C174F0">
        <w:rPr>
          <w:rFonts w:ascii="Arial" w:eastAsia="Arial" w:hAnsi="Arial" w:cs="Arial"/>
          <w:szCs w:val="28"/>
        </w:rPr>
        <w:t>autorizativa</w:t>
      </w:r>
      <w:proofErr w:type="spellEnd"/>
      <w:r w:rsidRPr="00C174F0">
        <w:rPr>
          <w:rFonts w:ascii="Arial" w:eastAsia="Arial" w:hAnsi="Arial" w:cs="Arial"/>
          <w:szCs w:val="28"/>
        </w:rPr>
        <w:t xml:space="preserve"> ou de delegação que não encontra sentido no ordenamento jurídico,</w:t>
      </w:r>
      <w:r w:rsidRPr="00C174F0">
        <w:rPr>
          <w:rFonts w:ascii="Arial" w:eastAsia="Arial" w:hAnsi="Arial" w:cs="Arial"/>
          <w:szCs w:val="28"/>
        </w:rPr>
        <w:t xml:space="preserve"> vez que </w:t>
      </w:r>
      <w:r w:rsidRPr="00C174F0">
        <w:rPr>
          <w:rFonts w:ascii="Arial" w:eastAsia="Arial" w:hAnsi="Arial" w:cs="Arial"/>
          <w:b/>
          <w:szCs w:val="28"/>
        </w:rPr>
        <w:t xml:space="preserve">o Prefeito não precisa de autorização do Legislativo para o exercício de atos de sua exclusiva ou mesmo concorrente </w:t>
      </w:r>
      <w:proofErr w:type="gramStart"/>
      <w:r w:rsidRPr="00C174F0">
        <w:rPr>
          <w:rFonts w:ascii="Arial" w:eastAsia="Arial" w:hAnsi="Arial" w:cs="Arial"/>
          <w:b/>
          <w:szCs w:val="28"/>
        </w:rPr>
        <w:t>competência</w:t>
      </w:r>
      <w:r w:rsidRPr="00C174F0">
        <w:rPr>
          <w:rFonts w:ascii="Arial" w:eastAsia="Arial" w:hAnsi="Arial" w:cs="Arial"/>
          <w:szCs w:val="28"/>
        </w:rPr>
        <w:t xml:space="preserve"> .</w:t>
      </w:r>
      <w:proofErr w:type="gramEnd"/>
      <w:r w:rsidRPr="00C174F0">
        <w:rPr>
          <w:rFonts w:ascii="Arial" w:eastAsia="Arial" w:hAnsi="Arial" w:cs="Arial"/>
          <w:szCs w:val="28"/>
        </w:rPr>
        <w:t xml:space="preserve"> Violação flagrante à separação de Poderes (art. 5º, CE). Inconstitucionalidade declarada neste ponto. Por conseguinte</w:t>
      </w:r>
      <w:r w:rsidRPr="00C174F0">
        <w:rPr>
          <w:rFonts w:ascii="Arial" w:eastAsia="Arial" w:hAnsi="Arial" w:cs="Arial"/>
          <w:szCs w:val="28"/>
        </w:rPr>
        <w:t xml:space="preserve">, com a retirada da norma do ordenamento, desnecessária a análise da alegação subsidiária de inconstitucionalidade por falta de previsão </w:t>
      </w:r>
      <w:proofErr w:type="gramStart"/>
      <w:r w:rsidRPr="00C174F0">
        <w:rPr>
          <w:rFonts w:ascii="Arial" w:eastAsia="Arial" w:hAnsi="Arial" w:cs="Arial"/>
          <w:szCs w:val="28"/>
        </w:rPr>
        <w:t>orçamentária .</w:t>
      </w:r>
      <w:proofErr w:type="gramEnd"/>
      <w:r w:rsidRPr="00C174F0">
        <w:rPr>
          <w:rFonts w:ascii="Arial" w:eastAsia="Arial" w:hAnsi="Arial" w:cs="Arial"/>
          <w:szCs w:val="28"/>
        </w:rPr>
        <w:t xml:space="preserve"> Doutrina e jurisprudência (do STF e deste Órgão Especial). AÇÃO PROCEDENTE. (TJ-SP - ADI: 22519532920168</w:t>
      </w:r>
      <w:r w:rsidRPr="00C174F0">
        <w:rPr>
          <w:rFonts w:ascii="Arial" w:eastAsia="Arial" w:hAnsi="Arial" w:cs="Arial"/>
          <w:szCs w:val="28"/>
        </w:rPr>
        <w:t>260000 SP 2251953-</w:t>
      </w:r>
      <w:proofErr w:type="gramStart"/>
      <w:r w:rsidRPr="00C174F0">
        <w:rPr>
          <w:rFonts w:ascii="Arial" w:eastAsia="Arial" w:hAnsi="Arial" w:cs="Arial"/>
          <w:szCs w:val="28"/>
        </w:rPr>
        <w:t>29.2016 .</w:t>
      </w:r>
      <w:proofErr w:type="gramEnd"/>
      <w:r w:rsidRPr="00C174F0">
        <w:rPr>
          <w:rFonts w:ascii="Arial" w:eastAsia="Arial" w:hAnsi="Arial" w:cs="Arial"/>
          <w:szCs w:val="28"/>
        </w:rPr>
        <w:t xml:space="preserve">8.26.0000, Relator.: </w:t>
      </w:r>
      <w:proofErr w:type="spellStart"/>
      <w:r w:rsidRPr="00C174F0">
        <w:rPr>
          <w:rFonts w:ascii="Arial" w:eastAsia="Arial" w:hAnsi="Arial" w:cs="Arial"/>
          <w:szCs w:val="28"/>
        </w:rPr>
        <w:t>Beretta</w:t>
      </w:r>
      <w:proofErr w:type="spellEnd"/>
      <w:r w:rsidRPr="00C174F0">
        <w:rPr>
          <w:rFonts w:ascii="Arial" w:eastAsia="Arial" w:hAnsi="Arial" w:cs="Arial"/>
          <w:szCs w:val="28"/>
        </w:rPr>
        <w:t xml:space="preserve"> da Silveira, Data de Julgamento: 05/04/2017, Órgão Especial, Data de Publicação: 06/04/2017).</w:t>
      </w:r>
    </w:p>
    <w:p w:rsidR="00A77684" w:rsidRDefault="00A77684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Nesse sentido, há que se </w:t>
      </w:r>
      <w:proofErr w:type="gramStart"/>
      <w:r>
        <w:rPr>
          <w:rFonts w:ascii="Arial" w:eastAsia="Arial" w:hAnsi="Arial" w:cs="Arial"/>
          <w:sz w:val="28"/>
          <w:szCs w:val="28"/>
        </w:rPr>
        <w:t>lançar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competentes ressalvas ao teor do art. 3º da proposição, dispondo esse sob</w:t>
      </w:r>
      <w:r>
        <w:rPr>
          <w:rFonts w:ascii="Arial" w:eastAsia="Arial" w:hAnsi="Arial" w:cs="Arial"/>
          <w:sz w:val="28"/>
          <w:szCs w:val="28"/>
        </w:rPr>
        <w:t>re atos inseridos na esfera de competência própria do Poder Executivo.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Relativamente ao art. 4º, que se refere à criação de despesas eventuais, o entendimento também está pacificado na jurisprudência, no sentido que não se trata de causa de inconstitucion</w:t>
      </w:r>
      <w:r>
        <w:rPr>
          <w:rFonts w:ascii="Arial" w:eastAsia="Arial" w:hAnsi="Arial" w:cs="Arial"/>
          <w:sz w:val="28"/>
          <w:szCs w:val="28"/>
        </w:rPr>
        <w:t xml:space="preserve">alidade, mas apenas de inviabilidade de execução da lei no mesmo exercício financeiro da sua criação: </w:t>
      </w:r>
    </w:p>
    <w:p w:rsidR="00A77684" w:rsidRPr="00C174F0" w:rsidRDefault="00C1073D">
      <w:pPr>
        <w:pStyle w:val="normal0"/>
        <w:ind w:left="216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 xml:space="preserve">Ação direta de inconstitucionalidade ajuizada por Prefeito - Lei 4.432/2024, de iniciativa de Vereador, que "prevê afixação de cartaz em estabelecimento </w:t>
      </w:r>
      <w:r w:rsidRPr="00C174F0">
        <w:rPr>
          <w:rFonts w:ascii="Arial" w:eastAsia="Arial" w:hAnsi="Arial" w:cs="Arial"/>
          <w:szCs w:val="28"/>
        </w:rPr>
        <w:t xml:space="preserve">de saúde, sobre o direito à assistência religiosa dos pacientes". Alegação de vício de iniciativa. </w:t>
      </w:r>
      <w:proofErr w:type="gramStart"/>
      <w:r w:rsidRPr="00C174F0">
        <w:rPr>
          <w:rFonts w:ascii="Arial" w:eastAsia="Arial" w:hAnsi="Arial" w:cs="Arial"/>
          <w:szCs w:val="28"/>
        </w:rPr>
        <w:t>Inocorrência .</w:t>
      </w:r>
      <w:proofErr w:type="gramEnd"/>
      <w:r w:rsidRPr="00C174F0">
        <w:rPr>
          <w:rFonts w:ascii="Arial" w:eastAsia="Arial" w:hAnsi="Arial" w:cs="Arial"/>
          <w:szCs w:val="28"/>
        </w:rPr>
        <w:t xml:space="preserve"> Matéria não elencada entre aquelas de competência legislativa exclusiva do Chefe do Poder Executivo </w:t>
      </w:r>
      <w:r w:rsidRPr="00C174F0">
        <w:rPr>
          <w:rFonts w:ascii="Arial" w:eastAsia="Arial" w:hAnsi="Arial" w:cs="Arial"/>
          <w:szCs w:val="28"/>
        </w:rPr>
        <w:lastRenderedPageBreak/>
        <w:t>(artigo 24, § 2º, da Constituição Estadual</w:t>
      </w:r>
      <w:r w:rsidRPr="00C174F0">
        <w:rPr>
          <w:rFonts w:ascii="Arial" w:eastAsia="Arial" w:hAnsi="Arial" w:cs="Arial"/>
          <w:szCs w:val="28"/>
        </w:rPr>
        <w:t xml:space="preserve">). Ausência de estudos sobre impacto financeiro. Supremo Tribunal Federal já decidiu que </w:t>
      </w:r>
      <w:r w:rsidRPr="00C174F0">
        <w:rPr>
          <w:rFonts w:ascii="Arial" w:eastAsia="Arial" w:hAnsi="Arial" w:cs="Arial"/>
          <w:b/>
          <w:szCs w:val="28"/>
        </w:rPr>
        <w:t xml:space="preserve">"a ausência de dotação orçamentária prévia em legislação específica não autoriza a declaração de inconstitucionalidade da lei, impedindo </w:t>
      </w:r>
      <w:proofErr w:type="spellStart"/>
      <w:r w:rsidRPr="00C174F0">
        <w:rPr>
          <w:rFonts w:ascii="Arial" w:eastAsia="Arial" w:hAnsi="Arial" w:cs="Arial"/>
          <w:b/>
          <w:szCs w:val="28"/>
        </w:rPr>
        <w:t>tão-somente</w:t>
      </w:r>
      <w:proofErr w:type="spellEnd"/>
      <w:r w:rsidRPr="00C174F0">
        <w:rPr>
          <w:rFonts w:ascii="Arial" w:eastAsia="Arial" w:hAnsi="Arial" w:cs="Arial"/>
          <w:b/>
          <w:szCs w:val="28"/>
        </w:rPr>
        <w:t xml:space="preserve"> a sua aplicação na</w:t>
      </w:r>
      <w:r w:rsidRPr="00C174F0">
        <w:rPr>
          <w:rFonts w:ascii="Arial" w:eastAsia="Arial" w:hAnsi="Arial" w:cs="Arial"/>
          <w:b/>
          <w:szCs w:val="28"/>
        </w:rPr>
        <w:t>quele exercício financeiro"</w:t>
      </w:r>
      <w:r w:rsidRPr="00C174F0">
        <w:rPr>
          <w:rFonts w:ascii="Arial" w:eastAsia="Arial" w:hAnsi="Arial" w:cs="Arial"/>
          <w:szCs w:val="28"/>
        </w:rPr>
        <w:t xml:space="preserve">. Precedentes do </w:t>
      </w:r>
      <w:proofErr w:type="gramStart"/>
      <w:r w:rsidRPr="00C174F0">
        <w:rPr>
          <w:rFonts w:ascii="Arial" w:eastAsia="Arial" w:hAnsi="Arial" w:cs="Arial"/>
          <w:szCs w:val="28"/>
        </w:rPr>
        <w:t>c .</w:t>
      </w:r>
      <w:proofErr w:type="gramEnd"/>
      <w:r w:rsidRPr="00C174F0">
        <w:rPr>
          <w:rFonts w:ascii="Arial" w:eastAsia="Arial" w:hAnsi="Arial" w:cs="Arial"/>
          <w:szCs w:val="28"/>
        </w:rPr>
        <w:t xml:space="preserve"> Órgão Especial. Pedido improcedente. (TJ-SP - Direta de Inconstitucionalidade: 22168541720248260000 São Paulo, Relator</w:t>
      </w:r>
      <w:proofErr w:type="gramStart"/>
      <w:r w:rsidRPr="00C174F0">
        <w:rPr>
          <w:rFonts w:ascii="Arial" w:eastAsia="Arial" w:hAnsi="Arial" w:cs="Arial"/>
          <w:szCs w:val="28"/>
        </w:rPr>
        <w:t>.:</w:t>
      </w:r>
      <w:proofErr w:type="gramEnd"/>
      <w:r w:rsidRPr="00C174F0">
        <w:rPr>
          <w:rFonts w:ascii="Arial" w:eastAsia="Arial" w:hAnsi="Arial" w:cs="Arial"/>
          <w:szCs w:val="28"/>
        </w:rPr>
        <w:t xml:space="preserve"> Figueiredo Gonçalves, Data de Julgamento: 13/11/2024, Órgão Especial, Data de Publicaçã</w:t>
      </w:r>
      <w:r w:rsidRPr="00C174F0">
        <w:rPr>
          <w:rFonts w:ascii="Arial" w:eastAsia="Arial" w:hAnsi="Arial" w:cs="Arial"/>
          <w:szCs w:val="28"/>
        </w:rPr>
        <w:t>o: 15/11/2024)</w:t>
      </w:r>
      <w:r w:rsidR="00C174F0">
        <w:rPr>
          <w:rFonts w:ascii="Arial" w:eastAsia="Arial" w:hAnsi="Arial" w:cs="Arial"/>
          <w:szCs w:val="28"/>
        </w:rPr>
        <w:t>.</w:t>
      </w:r>
    </w:p>
    <w:p w:rsidR="00A77684" w:rsidRDefault="00A7768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Finalmente, quanto à assinatura de prazo para regulamentação do poder executivo (art. 5º do projeto de lei), tal disposição se mostra inviável, eis que:</w:t>
      </w:r>
    </w:p>
    <w:p w:rsidR="00A77684" w:rsidRDefault="00A77684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A77684" w:rsidRPr="00C174F0" w:rsidRDefault="00C1073D">
      <w:pPr>
        <w:pStyle w:val="normal0"/>
        <w:ind w:left="216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>AÇÃO DIRETA DE INCONSTITUCIONALIDADE. Município de Taubaté. Lei nº 5.750, de 30 de ago</w:t>
      </w:r>
      <w:r w:rsidRPr="00C174F0">
        <w:rPr>
          <w:rFonts w:ascii="Arial" w:eastAsia="Arial" w:hAnsi="Arial" w:cs="Arial"/>
          <w:szCs w:val="28"/>
        </w:rPr>
        <w:t xml:space="preserve">sto de 2022, que "dispõe sobre a instituição do ensino domiciliar no âmbito da educação básica", de iniciativa da </w:t>
      </w:r>
      <w:proofErr w:type="gramStart"/>
      <w:r w:rsidRPr="00C174F0">
        <w:rPr>
          <w:rFonts w:ascii="Arial" w:eastAsia="Arial" w:hAnsi="Arial" w:cs="Arial"/>
          <w:szCs w:val="28"/>
        </w:rPr>
        <w:t>Edilidade .</w:t>
      </w:r>
      <w:proofErr w:type="gramEnd"/>
      <w:r w:rsidRPr="00C174F0">
        <w:rPr>
          <w:rFonts w:ascii="Arial" w:eastAsia="Arial" w:hAnsi="Arial" w:cs="Arial"/>
          <w:szCs w:val="28"/>
        </w:rPr>
        <w:t xml:space="preserve"> Caracterizada afronta ao pacto federativo, dada a invasão pelo Município, na esfera legislativa atribuída exclusivamente à União. </w:t>
      </w:r>
      <w:r w:rsidRPr="00C174F0">
        <w:rPr>
          <w:rFonts w:ascii="Arial" w:eastAsia="Arial" w:hAnsi="Arial" w:cs="Arial"/>
          <w:szCs w:val="28"/>
        </w:rPr>
        <w:t xml:space="preserve">Hipótese, ademais, em que </w:t>
      </w:r>
      <w:r w:rsidRPr="00C174F0">
        <w:rPr>
          <w:rFonts w:ascii="Arial" w:eastAsia="Arial" w:hAnsi="Arial" w:cs="Arial"/>
          <w:b/>
          <w:szCs w:val="28"/>
        </w:rPr>
        <w:t>o ato normativo, ao assinalar ao Executivo prazo rígido para a sua regulamentação, desrespeitou a independência entre os Poderes.</w:t>
      </w:r>
      <w:r w:rsidRPr="00C174F0">
        <w:rPr>
          <w:rFonts w:ascii="Arial" w:eastAsia="Arial" w:hAnsi="Arial" w:cs="Arial"/>
          <w:szCs w:val="28"/>
        </w:rPr>
        <w:t xml:space="preserve"> Inteligência dos artigos 22, inciso XXIV, e 24, inciso IX, da Carta da Republica, e 5º, 144 da Const</w:t>
      </w:r>
      <w:r w:rsidRPr="00C174F0">
        <w:rPr>
          <w:rFonts w:ascii="Arial" w:eastAsia="Arial" w:hAnsi="Arial" w:cs="Arial"/>
          <w:szCs w:val="28"/>
        </w:rPr>
        <w:t xml:space="preserve">ituição Estadual. Exame da </w:t>
      </w:r>
      <w:proofErr w:type="gramStart"/>
      <w:r w:rsidRPr="00C174F0">
        <w:rPr>
          <w:rFonts w:ascii="Arial" w:eastAsia="Arial" w:hAnsi="Arial" w:cs="Arial"/>
          <w:szCs w:val="28"/>
        </w:rPr>
        <w:t>jurisprudência .</w:t>
      </w:r>
      <w:proofErr w:type="gramEnd"/>
      <w:r w:rsidRPr="00C174F0">
        <w:rPr>
          <w:rFonts w:ascii="Arial" w:eastAsia="Arial" w:hAnsi="Arial" w:cs="Arial"/>
          <w:szCs w:val="28"/>
        </w:rPr>
        <w:t xml:space="preserve"> PROCEDÊNCIA. (TJ-SP - Direta de Inconstitucionalidade: 2293946-</w:t>
      </w:r>
      <w:proofErr w:type="gramStart"/>
      <w:r w:rsidRPr="00C174F0">
        <w:rPr>
          <w:rFonts w:ascii="Arial" w:eastAsia="Arial" w:hAnsi="Arial" w:cs="Arial"/>
          <w:szCs w:val="28"/>
        </w:rPr>
        <w:t>42.2022.8 .</w:t>
      </w:r>
      <w:proofErr w:type="gramEnd"/>
      <w:r w:rsidRPr="00C174F0">
        <w:rPr>
          <w:rFonts w:ascii="Arial" w:eastAsia="Arial" w:hAnsi="Arial" w:cs="Arial"/>
          <w:szCs w:val="28"/>
        </w:rPr>
        <w:t>26.0000 São Paulo, Relator.: Jarbas Gomes, Data de Julgamento: 24/05/2023, Órgão Especial, Data de Publicação: 25/05/2023).</w:t>
      </w:r>
    </w:p>
    <w:p w:rsidR="00A77684" w:rsidRDefault="00C1073D">
      <w:pPr>
        <w:pStyle w:val="normal0"/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Por derradeiro, caso a proposição prossiga, registra-se que a deliberação pelo plenário da nobre Casa Legislativa deve ser precedida da manifestação das seguintes comissões permanentes: </w:t>
      </w:r>
    </w:p>
    <w:p w:rsidR="00A77684" w:rsidRDefault="00C1073D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b/>
          <w:sz w:val="28"/>
          <w:szCs w:val="28"/>
        </w:rPr>
        <w:t>LEGISLAÇÃO E JUSTIÇA</w:t>
      </w:r>
      <w:r>
        <w:rPr>
          <w:rFonts w:ascii="Arial" w:eastAsia="Arial" w:hAnsi="Arial" w:cs="Arial"/>
          <w:sz w:val="28"/>
          <w:szCs w:val="28"/>
        </w:rPr>
        <w:t>, por ser condição de tramitação do processo</w:t>
      </w:r>
      <w:r>
        <w:rPr>
          <w:rFonts w:ascii="Arial" w:eastAsia="Arial" w:hAnsi="Arial" w:cs="Arial"/>
          <w:sz w:val="28"/>
          <w:szCs w:val="28"/>
        </w:rPr>
        <w:t xml:space="preserve"> legislativo para todas as proposições em geral: </w:t>
      </w:r>
    </w:p>
    <w:p w:rsidR="00A77684" w:rsidRDefault="00A77684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A77684" w:rsidRPr="00C174F0" w:rsidRDefault="00C1073D">
      <w:pPr>
        <w:pStyle w:val="normal0"/>
        <w:ind w:left="210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>Art. 76- Compete à Comissão de Legislação e Justiça manifestar-se sobre todos os assuntos nos aspectos constitucional, redacional e legal e, quando já aprovados pelo Plenário, analisá-los sob os aspectos l</w:t>
      </w:r>
      <w:r w:rsidRPr="00C174F0">
        <w:rPr>
          <w:rFonts w:ascii="Arial" w:eastAsia="Arial" w:hAnsi="Arial" w:cs="Arial"/>
          <w:szCs w:val="28"/>
        </w:rPr>
        <w:t xml:space="preserve">ógico e gramatical, de modo a adequar ao bom vernáculo o texto das proposições. § 1º- Salvo expressa disposição em contrário deste Regimento, é </w:t>
      </w:r>
      <w:r w:rsidRPr="00C174F0">
        <w:rPr>
          <w:rFonts w:ascii="Arial" w:eastAsia="Arial" w:hAnsi="Arial" w:cs="Arial"/>
          <w:szCs w:val="28"/>
        </w:rPr>
        <w:lastRenderedPageBreak/>
        <w:t xml:space="preserve">obrigatória a audiência da Comissão de Legislação e Justiça em todos os projetos de lei e determinadas matérias </w:t>
      </w:r>
      <w:r w:rsidRPr="00C174F0">
        <w:rPr>
          <w:rFonts w:ascii="Arial" w:eastAsia="Arial" w:hAnsi="Arial" w:cs="Arial"/>
          <w:szCs w:val="28"/>
        </w:rPr>
        <w:t>que tramitarem pela Câmara.</w:t>
      </w:r>
    </w:p>
    <w:p w:rsidR="00A77684" w:rsidRPr="00C174F0" w:rsidRDefault="00A77684">
      <w:pPr>
        <w:pStyle w:val="normal0"/>
        <w:spacing w:line="276" w:lineRule="auto"/>
        <w:jc w:val="both"/>
        <w:rPr>
          <w:rFonts w:ascii="Arial" w:eastAsia="Arial" w:hAnsi="Arial" w:cs="Arial"/>
          <w:szCs w:val="28"/>
        </w:rPr>
      </w:pPr>
    </w:p>
    <w:p w:rsidR="00A77684" w:rsidRDefault="00C1073D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>
        <w:rPr>
          <w:rFonts w:ascii="Arial" w:eastAsia="Arial" w:hAnsi="Arial" w:cs="Arial"/>
          <w:b/>
          <w:sz w:val="28"/>
          <w:szCs w:val="28"/>
        </w:rPr>
        <w:t>FINANÇAS</w:t>
      </w:r>
      <w:r>
        <w:rPr>
          <w:rFonts w:ascii="Arial" w:eastAsia="Arial" w:hAnsi="Arial" w:cs="Arial"/>
          <w:sz w:val="28"/>
          <w:szCs w:val="28"/>
        </w:rPr>
        <w:t>, por competência específica, eis que a proposição contém previsão de criação de despesas:</w:t>
      </w:r>
    </w:p>
    <w:p w:rsidR="00A77684" w:rsidRDefault="00A77684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</w:p>
    <w:p w:rsidR="00A77684" w:rsidRPr="00C174F0" w:rsidRDefault="00C1073D">
      <w:pPr>
        <w:pStyle w:val="normal0"/>
        <w:ind w:left="210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>Art. 77- Compete à Comissão de Finanças e Orçamento opinar obrigatoriamente sobre todas as matérias de caráter financeiro, e</w:t>
      </w:r>
      <w:r w:rsidRPr="00C174F0">
        <w:rPr>
          <w:rFonts w:ascii="Arial" w:eastAsia="Arial" w:hAnsi="Arial" w:cs="Arial"/>
          <w:szCs w:val="28"/>
        </w:rPr>
        <w:t xml:space="preserve"> especialmente quando for o caso de: (...) IV - proposições referentes a matérias tributárias; abertura de créditos; empréstimos públicos e as que, direta ou indiretamente, alterem a despesa ou a receita do Município, acarretem responsabilidades ao Erário </w:t>
      </w:r>
      <w:r w:rsidRPr="00C174F0">
        <w:rPr>
          <w:rFonts w:ascii="Arial" w:eastAsia="Arial" w:hAnsi="Arial" w:cs="Arial"/>
          <w:szCs w:val="28"/>
        </w:rPr>
        <w:t>Municipal ou interessem ao crédito e ao Patrimônio Público Municipal;</w:t>
      </w:r>
    </w:p>
    <w:p w:rsidR="00A77684" w:rsidRDefault="00A77684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d) </w:t>
      </w:r>
      <w:r>
        <w:rPr>
          <w:rFonts w:ascii="Arial" w:eastAsia="Arial" w:hAnsi="Arial" w:cs="Arial"/>
          <w:b/>
          <w:sz w:val="28"/>
          <w:szCs w:val="28"/>
        </w:rPr>
        <w:t>SAÚDE</w:t>
      </w:r>
      <w:r>
        <w:rPr>
          <w:rFonts w:ascii="Arial" w:eastAsia="Arial" w:hAnsi="Arial" w:cs="Arial"/>
          <w:sz w:val="28"/>
          <w:szCs w:val="28"/>
        </w:rPr>
        <w:t xml:space="preserve">, por competência específica, pois o projeto de lei diz respeito à atuação do poder público nesta área: </w:t>
      </w:r>
    </w:p>
    <w:p w:rsidR="00A77684" w:rsidRDefault="00A77684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A77684" w:rsidRPr="00C174F0" w:rsidRDefault="00C1073D">
      <w:pPr>
        <w:pStyle w:val="normal0"/>
        <w:ind w:left="2100"/>
        <w:jc w:val="both"/>
        <w:rPr>
          <w:rFonts w:ascii="Arial" w:eastAsia="Arial" w:hAnsi="Arial" w:cs="Arial"/>
          <w:szCs w:val="28"/>
        </w:rPr>
      </w:pPr>
      <w:r w:rsidRPr="00C174F0">
        <w:rPr>
          <w:rFonts w:ascii="Arial" w:eastAsia="Arial" w:hAnsi="Arial" w:cs="Arial"/>
          <w:szCs w:val="28"/>
        </w:rPr>
        <w:t xml:space="preserve">Art. 79- O assuntos relativos à </w:t>
      </w:r>
      <w:proofErr w:type="gramStart"/>
      <w:r w:rsidRPr="00C174F0">
        <w:rPr>
          <w:rFonts w:ascii="Arial" w:eastAsia="Arial" w:hAnsi="Arial" w:cs="Arial"/>
          <w:szCs w:val="28"/>
        </w:rPr>
        <w:t>Educação ,</w:t>
      </w:r>
      <w:proofErr w:type="gramEnd"/>
      <w:r w:rsidRPr="00C174F0">
        <w:rPr>
          <w:rFonts w:ascii="Arial" w:eastAsia="Arial" w:hAnsi="Arial" w:cs="Arial"/>
          <w:szCs w:val="28"/>
        </w:rPr>
        <w:t xml:space="preserve"> Saúde e Ação Social e Meio A</w:t>
      </w:r>
      <w:r w:rsidRPr="00C174F0">
        <w:rPr>
          <w:rFonts w:ascii="Arial" w:eastAsia="Arial" w:hAnsi="Arial" w:cs="Arial"/>
          <w:szCs w:val="28"/>
        </w:rPr>
        <w:t>mbiente são atribuídos às Comissões relacionadas neste Artigo:  (...) § 2º- À Comissão de Saúde, Ação Social e Meio Ambiente compete manifestar-se em todos os projetos e matérias que versem sobre  desportos e assuntos relacionados com saúde, saneamento, cu</w:t>
      </w:r>
      <w:r w:rsidRPr="00C174F0">
        <w:rPr>
          <w:rFonts w:ascii="Arial" w:eastAsia="Arial" w:hAnsi="Arial" w:cs="Arial"/>
          <w:szCs w:val="28"/>
        </w:rPr>
        <w:t>ltura, meio ambiente, criança, adolescente, idoso e assistência e Previdência social em geral. (Modificado pela Resolução Plenária nº 404, de 14 de março de 2006</w:t>
      </w:r>
      <w:proofErr w:type="gramStart"/>
      <w:r w:rsidRPr="00C174F0">
        <w:rPr>
          <w:rFonts w:ascii="Arial" w:eastAsia="Arial" w:hAnsi="Arial" w:cs="Arial"/>
          <w:szCs w:val="28"/>
        </w:rPr>
        <w:t xml:space="preserve"> )</w:t>
      </w:r>
      <w:proofErr w:type="gramEnd"/>
    </w:p>
    <w:p w:rsidR="00A77684" w:rsidRDefault="00A77684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A77684" w:rsidRDefault="00A77684">
      <w:pPr>
        <w:pStyle w:val="normal0"/>
        <w:spacing w:line="276" w:lineRule="auto"/>
        <w:rPr>
          <w:rFonts w:ascii="Arial" w:eastAsia="Arial" w:hAnsi="Arial" w:cs="Arial"/>
          <w:sz w:val="28"/>
          <w:szCs w:val="28"/>
        </w:rPr>
      </w:pPr>
    </w:p>
    <w:p w:rsidR="0084262E" w:rsidRDefault="0084262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e jurisprudenciais apresentados acima, encaminhamos o expediente ao opinando pela </w:t>
      </w:r>
      <w:r>
        <w:rPr>
          <w:rFonts w:ascii="Arial" w:eastAsia="Arial" w:hAnsi="Arial" w:cs="Arial"/>
          <w:b/>
          <w:sz w:val="28"/>
          <w:szCs w:val="28"/>
        </w:rPr>
        <w:t>inviabilidade de tramitação.</w:t>
      </w:r>
    </w:p>
    <w:p w:rsidR="0084262E" w:rsidRDefault="0084262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84262E" w:rsidRDefault="0084262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que pese</w:t>
      </w:r>
      <w:r w:rsidR="00C1073D">
        <w:rPr>
          <w:rFonts w:ascii="Arial" w:eastAsia="Arial" w:hAnsi="Arial" w:cs="Arial"/>
          <w:sz w:val="28"/>
          <w:szCs w:val="28"/>
        </w:rPr>
        <w:t xml:space="preserve"> o objeto legislado está ao alcance do poder de iniciativa parlamentar, i</w:t>
      </w:r>
      <w:r w:rsidR="00C1073D">
        <w:rPr>
          <w:rFonts w:ascii="Arial" w:eastAsia="Arial" w:hAnsi="Arial" w:cs="Arial"/>
          <w:sz w:val="28"/>
          <w:szCs w:val="28"/>
        </w:rPr>
        <w:t xml:space="preserve">nexistindo reserva de iniciativa ao Poder Executivo para essa matéria, e considerando que os municípios detêm competência concorrente para dispor sobre medidas de saúde, </w:t>
      </w:r>
      <w:r>
        <w:rPr>
          <w:rFonts w:ascii="Arial" w:eastAsia="Arial" w:hAnsi="Arial" w:cs="Arial"/>
          <w:sz w:val="28"/>
          <w:szCs w:val="28"/>
        </w:rPr>
        <w:t xml:space="preserve">contudo, </w:t>
      </w:r>
      <w:r w:rsidR="00C1073D">
        <w:rPr>
          <w:rFonts w:ascii="Arial" w:eastAsia="Arial" w:hAnsi="Arial" w:cs="Arial"/>
          <w:sz w:val="28"/>
          <w:szCs w:val="28"/>
        </w:rPr>
        <w:t xml:space="preserve">há que se </w:t>
      </w:r>
      <w:proofErr w:type="gramStart"/>
      <w:r>
        <w:rPr>
          <w:rFonts w:ascii="Arial" w:eastAsia="Arial" w:hAnsi="Arial" w:cs="Arial"/>
          <w:sz w:val="28"/>
          <w:szCs w:val="28"/>
        </w:rPr>
        <w:t>considerar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as </w:t>
      </w:r>
      <w:r w:rsidR="00C1073D">
        <w:rPr>
          <w:rFonts w:ascii="Arial" w:eastAsia="Arial" w:hAnsi="Arial" w:cs="Arial"/>
          <w:sz w:val="28"/>
          <w:szCs w:val="28"/>
        </w:rPr>
        <w:t xml:space="preserve">seguintes </w:t>
      </w:r>
      <w:r w:rsidR="00C1073D">
        <w:rPr>
          <w:rFonts w:ascii="Arial" w:eastAsia="Arial" w:hAnsi="Arial" w:cs="Arial"/>
          <w:b/>
          <w:sz w:val="28"/>
          <w:szCs w:val="28"/>
        </w:rPr>
        <w:t>RESSALVAS</w:t>
      </w:r>
      <w:r w:rsidR="00C1073D">
        <w:rPr>
          <w:rFonts w:ascii="Arial" w:eastAsia="Arial" w:hAnsi="Arial" w:cs="Arial"/>
          <w:sz w:val="28"/>
          <w:szCs w:val="28"/>
        </w:rPr>
        <w:t xml:space="preserve">: </w:t>
      </w:r>
    </w:p>
    <w:p w:rsidR="0084262E" w:rsidRDefault="0084262E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No sentido de que </w:t>
      </w:r>
      <w:r>
        <w:rPr>
          <w:rFonts w:ascii="Arial" w:eastAsia="Arial" w:hAnsi="Arial" w:cs="Arial"/>
          <w:i/>
          <w:sz w:val="28"/>
          <w:szCs w:val="28"/>
        </w:rPr>
        <w:t>não dispomos de expertise técnica para avaliar o teor das medidas propostas, e nem de atribuição legal enquanto órgão técnico para realizar essa análise</w:t>
      </w:r>
      <w:r>
        <w:rPr>
          <w:rFonts w:ascii="Arial" w:eastAsia="Arial" w:hAnsi="Arial" w:cs="Arial"/>
          <w:sz w:val="28"/>
          <w:szCs w:val="28"/>
        </w:rPr>
        <w:t>, ficando, portanto, a exclusivo critério da edilidade acatar as medidas pr</w:t>
      </w:r>
      <w:r>
        <w:rPr>
          <w:rFonts w:ascii="Arial" w:eastAsia="Arial" w:hAnsi="Arial" w:cs="Arial"/>
          <w:sz w:val="28"/>
          <w:szCs w:val="28"/>
        </w:rPr>
        <w:t xml:space="preserve">opostas quanto à sua adequação. </w:t>
      </w:r>
    </w:p>
    <w:p w:rsidR="00A77684" w:rsidRDefault="00A77684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No âmbito técnico jurídico, ressalvas aos artigos 3º e 5º da proposição, conforme termos e razões lançadas por ocasião da fundamentação jurídica do presente parecer.</w:t>
      </w:r>
    </w:p>
    <w:p w:rsidR="00A77684" w:rsidRDefault="00A77684">
      <w:pPr>
        <w:pStyle w:val="normal0"/>
        <w:spacing w:line="276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Ressalva-se como sugestão ao autor, o encaminhamento do respectivo projeto de lei como indicação ao Poder Executivo para fins de análise e aplicação do que se requer sem perder a sua essência enquanto projeto de lei.</w:t>
      </w:r>
    </w:p>
    <w:p w:rsidR="00A77684" w:rsidRDefault="00C1073D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Destaco,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>, que o presente par</w:t>
      </w:r>
      <w:r>
        <w:rPr>
          <w:rFonts w:ascii="Arial" w:eastAsia="Arial" w:hAnsi="Arial" w:cs="Arial"/>
          <w:sz w:val="28"/>
          <w:szCs w:val="28"/>
        </w:rPr>
        <w:t>ecer tem natureza opinativa e não vincula a decisão das comissões.</w:t>
      </w:r>
    </w:p>
    <w:p w:rsidR="00A77684" w:rsidRDefault="00C1073D">
      <w:pPr>
        <w:pStyle w:val="normal0"/>
        <w:spacing w:before="240" w:after="24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Parecer exarado em 17 de junho de 2025.</w:t>
      </w:r>
    </w:p>
    <w:p w:rsidR="00A77684" w:rsidRDefault="00A77684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A77684" w:rsidRDefault="00C1073D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A77684" w:rsidRDefault="00C1073D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A77684" w:rsidRDefault="00C1073D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A77684" w:rsidSect="00A77684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73D" w:rsidRDefault="00C1073D" w:rsidP="00A77684">
      <w:r>
        <w:separator/>
      </w:r>
    </w:p>
  </w:endnote>
  <w:endnote w:type="continuationSeparator" w:id="0">
    <w:p w:rsidR="00C1073D" w:rsidRDefault="00C1073D" w:rsidP="00A77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73D" w:rsidRDefault="00C1073D" w:rsidP="00A77684">
      <w:r>
        <w:separator/>
      </w:r>
    </w:p>
  </w:footnote>
  <w:footnote w:type="continuationSeparator" w:id="0">
    <w:p w:rsidR="00C1073D" w:rsidRDefault="00C1073D" w:rsidP="00A776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7684" w:rsidRDefault="00C1073D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</w:t>
    </w:r>
    <w:r>
      <w:rPr>
        <w:rFonts w:ascii="Arial" w:eastAsia="Arial" w:hAnsi="Arial" w:cs="Arial"/>
        <w:b/>
        <w:color w:val="333333"/>
        <w:sz w:val="28"/>
        <w:szCs w:val="28"/>
      </w:rPr>
      <w:t>ES DE SAPUCAIA DO SUL</w:t>
    </w:r>
  </w:p>
  <w:p w:rsidR="00A77684" w:rsidRDefault="00C1073D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A77684" w:rsidRDefault="00C1073D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A77684" w:rsidRDefault="00A7768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B151B"/>
    <w:multiLevelType w:val="multilevel"/>
    <w:tmpl w:val="A11675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84"/>
    <w:rsid w:val="0084262E"/>
    <w:rsid w:val="00A77684"/>
    <w:rsid w:val="00C1073D"/>
    <w:rsid w:val="00C174F0"/>
    <w:rsid w:val="00CD0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A77684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A7768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A7768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A77684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A7768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A7768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A77684"/>
  </w:style>
  <w:style w:type="table" w:customStyle="1" w:styleId="TableNormal">
    <w:name w:val="TableNormal"/>
    <w:rsid w:val="00A7768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A77684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A7768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1561</Words>
  <Characters>8434</Characters>
  <Application>Microsoft Office Word</Application>
  <DocSecurity>0</DocSecurity>
  <Lines>70</Lines>
  <Paragraphs>19</Paragraphs>
  <ScaleCrop>false</ScaleCrop>
  <Company/>
  <LinksUpToDate>false</LinksUpToDate>
  <CharactersWithSpaces>9976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3</cp:revision>
  <dcterms:created xsi:type="dcterms:W3CDTF">2025-06-18T12:50:00Z</dcterms:created>
  <dcterms:modified xsi:type="dcterms:W3CDTF">2025-06-18T12:55:00Z</dcterms:modified>
</cp:coreProperties>
</file>