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PLL 036/2025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Nº do Processo: 28536</w:t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Requerente: Ver. Douglas Toddy; Ver. Machado da Vitória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Tipo de Proposição: Projeto de Lei do Legislativo (PLL)</w:t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Data de Conclusão à Procuradoria: 01/10/2025</w:t>
        <w:tab/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RELATÓRIO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ab/>
        <w:t xml:space="preserve">Versa o expediente sobre proposição subscrita por Edil com assento nesta nobre Casa Legislativa, que solicita aprovação do Colendo Plenário para Projeto de Lei que “</w:t>
      </w:r>
      <w:r w:rsidDel="00000000" w:rsidR="00000000" w:rsidRPr="00000000">
        <w:rPr>
          <w:rFonts w:ascii="Arial" w:cs="Arial" w:eastAsia="Arial" w:hAnsi="Arial"/>
          <w:i w:val="1"/>
          <w:sz w:val="28"/>
          <w:szCs w:val="28"/>
          <w:rtl w:val="0"/>
        </w:rPr>
        <w:t xml:space="preserve">PROJETO DE LEI que Institui o programa: Flores de Aço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”. Consta dos autos eletrônicos o seguinte documento: ID 92225 (página única).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PARECER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A proposição versa sobre o poder de iniciativa parlamentar para criar políticas públicas. O presente parecer leva em consideração o trabalho realizado pelo Núcleo de Estudos e Pesquisas do Senado Federal, materializado no Texto para Discussão nº 122, denominado “Limites da Iniciativa Parlamentar sobre Políticas Públicas”</w:t>
      </w:r>
      <w:r w:rsidDel="00000000" w:rsidR="00000000" w:rsidRPr="00000000">
        <w:rPr>
          <w:rFonts w:ascii="Arial" w:cs="Arial" w:eastAsia="Arial" w:hAnsi="Arial"/>
          <w:sz w:val="26"/>
          <w:szCs w:val="26"/>
          <w:vertAlign w:val="superscript"/>
        </w:rPr>
        <w:footnoteReference w:customMarkFollows="0" w:id="0"/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 Sobre a natureza do tema e sua relação com os assim denominados “programas de governo”, citamos:</w:t>
      </w:r>
    </w:p>
    <w:p w:rsidR="00000000" w:rsidDel="00000000" w:rsidP="00000000" w:rsidRDefault="00000000" w:rsidRPr="00000000" w14:paraId="0000000E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“A doutrina diverge sobre se as políticas públicas são atos, normas ou atividades. Em uma definição concisa, afirma-se que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políticas públicas são programas de ação governamental visando a coordenar os meios à disposição do Estado e as atividades privadas, para a realização de objetivos socialmente relevantes e politicamente determinados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0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Como se nota, alguns elementos são centrais nessa definição: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o fato de que a política pública é um programa, isto é, um conjunto coordenado de ações; a adjetivação de que se trata de ações governamentais, ou seja, levadas a cabo, ao menos prioritariamente, pelo Estado; e, por fim, os objetivos, que devem ser socialmente relevantes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 Nesse sentido, percebe-se uma nítida conexão entre políticas públicas e direitos fundamentais sociais, na medida em que a primeira é um meio para a efetivação dos segundos.</w:t>
      </w:r>
    </w:p>
    <w:p w:rsidR="00000000" w:rsidDel="00000000" w:rsidP="00000000" w:rsidRDefault="00000000" w:rsidRPr="00000000" w14:paraId="00000012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A partir dessa definição, é possível notar que a criação de uma política pública não se resume à instituição de um novo órgão, e até não pressupõe essa providência. Ao contrário, a formulação de uma política pública consiste mais em estabelecer uma conexão entre as atribuições de órgãos já existentes, de modo a efetivar um direito social.</w:t>
      </w:r>
    </w:p>
    <w:p w:rsidR="00000000" w:rsidDel="00000000" w:rsidP="00000000" w:rsidRDefault="00000000" w:rsidRPr="00000000" w14:paraId="00000014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2880"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Dessa maneira, quando se diz que a formulação de políticas públicas é atividade prioritariamente atribuída ao Legislativo,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não se está conferindo ao legislador a tarefa de necessariamente criar novos órgãos, mas principalmente de criar programas para racionalizar a atuação governamental e assegurar a realização de direitos constitucionalmente assegurados”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(Grifo nosso)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ab/>
      </w:r>
    </w:p>
    <w:p w:rsidR="00000000" w:rsidDel="00000000" w:rsidP="00000000" w:rsidRDefault="00000000" w:rsidRPr="00000000" w14:paraId="00000018">
      <w:pPr>
        <w:spacing w:line="360" w:lineRule="auto"/>
        <w:ind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O posicionamento adotado por este setor técnico jurídico quanto a esta matéria funda-se na decisão que segue, à qual foi atribuída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repercussão geral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:</w:t>
      </w:r>
    </w:p>
    <w:p w:rsidR="00000000" w:rsidDel="00000000" w:rsidP="00000000" w:rsidRDefault="00000000" w:rsidRPr="00000000" w14:paraId="00000019">
      <w:pPr>
        <w:ind w:left="2880" w:firstLine="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Recurso extraordinário com agravo.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Repercussão geral.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2. Ação Direta de Inconstitucionalidade estadual. Lei 5.616/2013, do Município do Rio de Janeiro. Instalação de câmeras de monitoramento em escolas e cercanias. 3. Inconstitucionalidade formal. Vício de iniciativa. Competência privativa do Poder Executivo municipal. Não ocorrência.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Não usurpa a competência privativa do chefe do Poder Executivo lei que, embora crie despesa para a Administração Pública, não trata da sua estrutura ou da atribuição de seus órgãos nem do regime jurídico de servidores públicos.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4. Repercussão geral reconhecida com reafirmação da jurisprudência desta Corte. 5. Recurso extraordinário provido. (ARE 878911 RG, Relator (a): Min. GILMAR MENDES, julgado em 29/09/2016, PROCESSO ELETRÔNICO REPERCUSSÃO GERAL - MÉRITO DJe-217 DIVULG 10-10-2016 PUBLIC 11-10-2016 )</w:t>
      </w:r>
    </w:p>
    <w:p w:rsidR="00000000" w:rsidDel="00000000" w:rsidP="00000000" w:rsidRDefault="00000000" w:rsidRPr="00000000" w14:paraId="0000001A">
      <w:pPr>
        <w:ind w:left="2880" w:firstLine="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2880" w:firstLine="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(STF - RG ARE: 878911 RJ - RIO DE JANEIRO 0023472-40.2014.8.19.0000, Relator: Min. GILMAR MENDES, Data de Julgamento: 29/09/2016, Tribunal Pleno - meio eletrônico, Data de Publicação: DJe-217 11-10-2016)</w:t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ind w:firstLine="720"/>
        <w:jc w:val="both"/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Como vimos: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o projeto de lei cujo teor não contém disposições que versem sobre estrutura e/ou atribuições de órgãos do Poder Executivo, ou disponha sobre trata do regime jurídico dos seus servidores públicos, não encontra, em tese, óbice jurídico à proposição.</w:t>
      </w:r>
    </w:p>
    <w:p w:rsidR="00000000" w:rsidDel="00000000" w:rsidP="00000000" w:rsidRDefault="00000000" w:rsidRPr="00000000" w14:paraId="0000001F">
      <w:pPr>
        <w:spacing w:line="360" w:lineRule="auto"/>
        <w:ind w:firstLine="720"/>
        <w:jc w:val="both"/>
        <w:rPr>
          <w:rFonts w:ascii="Arial" w:cs="Arial" w:eastAsia="Arial" w:hAnsi="Arial"/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ind w:firstLine="72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Adentrando ao mérito, trazemos a conceituação de “programa de governo” estabelecida pela LM Nº 4.117/2021 (Plano Plurianual)</w:t>
      </w:r>
      <w:r w:rsidDel="00000000" w:rsidR="00000000" w:rsidRPr="00000000">
        <w:rPr>
          <w:rFonts w:ascii="Arial" w:cs="Arial" w:eastAsia="Arial" w:hAnsi="Arial"/>
          <w:sz w:val="28"/>
          <w:szCs w:val="28"/>
          <w:vertAlign w:val="superscript"/>
        </w:rPr>
        <w:footnoteReference w:customMarkFollows="0" w:id="1"/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, Nesse aspecto, verificamos que as disposições do projeto tratam apenas de estabelecer diretrizes que se enquadram de forma genérica nas definições dos incisos I e II do art. 2º, sem adentrar em outros elementos do ato administrativo ou de gestão.</w:t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firstLine="720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A esse respeito, entretanto, cumpre estabelecer a seguinte RESSALVA: A redação do art. 5º do projeto de lei estabelece </w:t>
      </w:r>
      <w:r w:rsidDel="00000000" w:rsidR="00000000" w:rsidRPr="00000000">
        <w:rPr>
          <w:rFonts w:ascii="Arial" w:cs="Arial" w:eastAsia="Arial" w:hAnsi="Arial"/>
          <w:i w:val="1"/>
          <w:sz w:val="26"/>
          <w:szCs w:val="26"/>
          <w:rtl w:val="0"/>
        </w:rPr>
        <w:t xml:space="preserve">prazo para regulamentação da lei pelo poder executivo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, disposição essa que, quando emanada por iniciativa parlamentar, é compreendida como violação ao princípio da separação de poderes:</w:t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2160" w:firstLine="0"/>
        <w:jc w:val="both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AÇÃO DIRETA DE INCONSTITUCIONALIDADE. LEI 1.600/2011 DO ESTADO DO AMAPÁ. PROGRAMA BOLSA ALUGUEL . VÍCIO DE INICIATIVA. INOCORRÊNCIA. INEXISTÊNCIA DE VINCULAÇÃO DO BENEFÍCIO AO SALÁRIO MÍNIMO NACIONAL.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FIXAÇÃO DE PRAZO PARA REGULAMENTAÇÃO DA LEI PELO PODER EXECUTIVO . INVIABILIDADE.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PARCIAL PROCEDÊNCIA DOS PEDIDOS. (...) 3. A Constituição, ao estabelecer as competências de cada um dos Poderes constituídos, atribuiu ao Chefe do Poder Executivo a função de chefe de governo e de direção superior da Administração Pública ( CF, art . 84, II), o que significa, ao fim e ao cabo, a definição, por meio de critérios de conveniência e oportunidade, de metas e modos de execução dos objetivos legalmente traçados e em observância às limitações financeiras do Estado. Por esse motivo,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a tentativa do Poder Legislativo de impor prazo ao Poder Executivo quanto ao dever regulamentar que lhe é originalmente atribuído pelo texto constitucional sem qualquer restrição temporal, viola o art. 2º da Constituição.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4 . Procedência em parte do pedido para declarar a inconstitucionalidade da expressão “no prazo de 90 (noventa) dias”, contida no art. 8º da Lei 1.600, de 28 de dezembro de 2011, do Estado do Amapá. (STF - ADI: 4727 DF, Relator.: Min . EDSON FACHIN, Data de Julgamento: 23/02/2023, Tribunal Pleno, Data de Publicação: PROCESSO ELETRÔNICO DJe-s/n DIVULG 27-04-2023 PUBLIC 28-04-2023).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Grifo nosso.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ind w:firstLine="72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Passando ao trâmite do processo legislativo, registramos que a eventual aprovação do presente projeto não exige quorum especial de votação: </w:t>
      </w:r>
    </w:p>
    <w:p w:rsidR="00000000" w:rsidDel="00000000" w:rsidP="00000000" w:rsidRDefault="00000000" w:rsidRPr="00000000" w14:paraId="00000027">
      <w:pPr>
        <w:ind w:left="2160" w:firstLine="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Art. 52 As discussões e votações das matérias constantes da ordem do dia serão efetuadas com a presença da maioria absoluta dos membros da Câmara Municipal. (...) § 4º A aprovação das matérias não constantes dos parágrafos anteriores deste artigo dependerá do voto favorável da maioria simples dos Vereadores, presentes à sessão a sua maioria absoluta.</w:t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240" w:line="276" w:lineRule="auto"/>
        <w:ind w:firstLine="70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Por fim, a deliberação pelo plenário da nobre Casa Legislativa deve ser precedida da manifestação da Comissão de LEGISLAÇÃO E JUSTIÇA, por ser condição de tramitação do processo legislativo para todas as proposições em geral:</w:t>
      </w:r>
    </w:p>
    <w:p w:rsidR="00000000" w:rsidDel="00000000" w:rsidP="00000000" w:rsidRDefault="00000000" w:rsidRPr="00000000" w14:paraId="0000002A">
      <w:pPr>
        <w:spacing w:line="240" w:lineRule="auto"/>
        <w:ind w:left="2100" w:firstLine="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ind w:left="2100" w:firstLine="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 § 1º- Salvo expressa disposição em contrário deste Regimento, é obrigatória a audiência da Comissão de Legislação e Justiça em todos os projetos de lei e determinadas matérias que tramitarem pela Câmara.</w:t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CONSIDERAÇÕES FINAIS</w:t>
      </w:r>
    </w:p>
    <w:p w:rsidR="00000000" w:rsidDel="00000000" w:rsidP="00000000" w:rsidRDefault="00000000" w:rsidRPr="00000000" w14:paraId="0000002F">
      <w:pPr>
        <w:spacing w:line="240" w:lineRule="auto"/>
        <w:ind w:firstLine="72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Em conformidade com os fundamentos normativos apresentados acima, encaminhamos o expediente ao prosseguimento opinando pela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viabilidade da tramitação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, eis que o projeto não contém disposições que tratam diretamente sobre estrutura e/ou atribuições de órgãos do Poder Executivo, nem dispõe sobre regime jurídico dos seus servidores públicos, mas COM RESSALVAS à redação do art. 5º pelos motivos expostos no mérito do presente parecer.  À conclusão superior, e com aprovação, encaminhem-se os autos à DIRETORIA LEGISLATIVA para as devidas diligências.</w:t>
      </w:r>
    </w:p>
    <w:p w:rsidR="00000000" w:rsidDel="00000000" w:rsidP="00000000" w:rsidRDefault="00000000" w:rsidRPr="00000000" w14:paraId="00000030">
      <w:pPr>
        <w:spacing w:line="360" w:lineRule="auto"/>
        <w:ind w:firstLine="720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ind w:firstLine="708"/>
        <w:jc w:val="righ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Parecer exarado em 1 de outubro de 2025</w:t>
      </w:r>
    </w:p>
    <w:p w:rsidR="00000000" w:rsidDel="00000000" w:rsidP="00000000" w:rsidRDefault="00000000" w:rsidRPr="00000000" w14:paraId="00000032">
      <w:pPr>
        <w:jc w:val="righ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righ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João Roberto da Fonseca Junior</w:t>
      </w:r>
    </w:p>
    <w:p w:rsidR="00000000" w:rsidDel="00000000" w:rsidP="00000000" w:rsidRDefault="00000000" w:rsidRPr="00000000" w14:paraId="00000034">
      <w:pPr>
        <w:jc w:val="right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Procurador Chefe</w:t>
      </w:r>
    </w:p>
    <w:p w:rsidR="00000000" w:rsidDel="00000000" w:rsidP="00000000" w:rsidRDefault="00000000" w:rsidRPr="00000000" w14:paraId="00000035">
      <w:pPr>
        <w:jc w:val="right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OAB/RS 69.257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5" w:top="1985" w:left="1701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A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CAVALCANTE FILHO, João Trindade. “Limites da Iniciativa Parlamentar sobre Políticas Públicas. Disponível em: </w:t>
      </w:r>
      <w:hyperlink r:id="rId1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https://www12.senado.leg.br/publicacoes/estudos-legislativos/resultadopesquisa?tipo=textos-para-discussao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acessado em 14/06/2021  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Art. 2º Para efeitos desta Lei entende-se por:</w:t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 - programa, o instrumento de organização da atuação governamental, que articula um conjunto de ações que concorrem para um objetivo comum preestabelecido, mensurado por indicadores, visando à solução de um problema ou ao atendimento de uma necessidade ou demanda da sociedade;</w:t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II - ação, o conjunto de operações cujos produtos contribuem para os objetivos do programa;</w:t>
      </w:r>
    </w:p>
    <w:p w:rsidR="00000000" w:rsidDel="00000000" w:rsidP="00000000" w:rsidRDefault="00000000" w:rsidRPr="00000000" w14:paraId="00000040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III - produto, bem ou serviço que resulta da ação, destinado ao público-alvo;</w:t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IV - meta, quantidade de produto que se deseja obter em determinado horizonte temporal, expressa na unidade de medida adotada.</w:t>
      </w:r>
    </w:p>
    <w:p w:rsidR="00000000" w:rsidDel="00000000" w:rsidP="00000000" w:rsidRDefault="00000000" w:rsidRPr="00000000" w14:paraId="0000004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pStyle w:val="Heading1"/>
      <w:pageBreakBefore w:val="0"/>
      <w:ind w:left="708" w:firstLine="0"/>
      <w:jc w:val="center"/>
      <w:rPr/>
    </w:pPr>
    <w:r w:rsidDel="00000000" w:rsidR="00000000" w:rsidRPr="00000000">
      <w:rPr>
        <w:rFonts w:ascii="Arial" w:cs="Arial" w:eastAsia="Arial" w:hAnsi="Arial"/>
        <w:b w:val="1"/>
        <w:color w:val="333333"/>
        <w:sz w:val="28"/>
        <w:szCs w:val="28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b="0" l="0" r="0" t="0"/>
          <wp:wrapSquare wrapText="bothSides" distB="0" distT="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1"/>
        <w:color w:val="333333"/>
        <w:sz w:val="28"/>
        <w:szCs w:val="28"/>
        <w:rtl w:val="0"/>
      </w:rPr>
      <w:t xml:space="preserve">CÂMARA DE VEREADORES DE SAPUCAIA DO SUL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7">
    <w:pPr>
      <w:pageBreakBefore w:val="0"/>
      <w:ind w:left="708" w:firstLine="0"/>
      <w:jc w:val="center"/>
      <w:rPr>
        <w:rFonts w:ascii="Arial" w:cs="Arial" w:eastAsia="Arial" w:hAnsi="Arial"/>
        <w:color w:val="333333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333333"/>
        <w:sz w:val="20"/>
        <w:szCs w:val="20"/>
        <w:rtl w:val="0"/>
      </w:rPr>
      <w:t xml:space="preserve">Av. Assis Brasil, nº51, Centro, CEP 93.220-050 - Sapucaia do Sul - Rio Grande do Sul</w:t>
    </w:r>
  </w:p>
  <w:p w:rsidR="00000000" w:rsidDel="00000000" w:rsidP="00000000" w:rsidRDefault="00000000" w:rsidRPr="00000000" w14:paraId="00000038">
    <w:pPr>
      <w:pageBreakBefore w:val="0"/>
      <w:ind w:left="708" w:firstLine="0"/>
      <w:jc w:val="center"/>
      <w:rPr>
        <w:rFonts w:ascii="Arial" w:cs="Arial" w:eastAsia="Arial" w:hAnsi="Arial"/>
        <w:color w:val="333333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333333"/>
        <w:sz w:val="20"/>
        <w:szCs w:val="20"/>
        <w:rtl w:val="0"/>
      </w:rPr>
      <w:t xml:space="preserve">Fones (51) 3474-1887 / 3474-1226 - Fax: 3474-1081</w:t>
    </w:r>
  </w:p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ageBreakBefore w:val="0"/>
    </w:pPr>
    <w:rPr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eader" Target="header1.xml"/></Relationships>
</file>

<file path=word/_rels/footnotes.xml.rels><?xml version="1.0" encoding="UTF-8" standalone="yes"?><Relationships xmlns="http://schemas.openxmlformats.org/package/2006/relationships"><Relationship Id="rId1" Type="http://schemas.openxmlformats.org/officeDocument/2006/relationships/hyperlink" Target="https://www12.senado.leg.br/publicacoes/estudos-legislativos/resultadopesquisa?tipo=textos-para-discussao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