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CCC" w:rsidRDefault="00292EF7">
      <w:pPr>
        <w:pStyle w:val="normal0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Mensagem nº 067</w:t>
      </w:r>
      <w:r w:rsidR="00C70795">
        <w:rPr>
          <w:rFonts w:ascii="Arial" w:eastAsia="Arial" w:hAnsi="Arial" w:cs="Arial"/>
          <w:b/>
          <w:sz w:val="28"/>
          <w:szCs w:val="28"/>
        </w:rPr>
        <w:t>/2025</w:t>
      </w:r>
    </w:p>
    <w:p w:rsidR="00124CCC" w:rsidRDefault="00292EF7">
      <w:pPr>
        <w:pStyle w:val="normal0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Processo nº 28650</w:t>
      </w:r>
    </w:p>
    <w:p w:rsidR="00124CCC" w:rsidRDefault="00C70795">
      <w:pPr>
        <w:pStyle w:val="normal0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Proponente: Poder Executivo Municipal</w:t>
      </w:r>
    </w:p>
    <w:p w:rsidR="00124CCC" w:rsidRDefault="00C70795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Regime de tramitação: </w:t>
      </w:r>
      <w:r>
        <w:rPr>
          <w:rFonts w:ascii="Arial" w:eastAsia="Arial" w:hAnsi="Arial" w:cs="Arial"/>
          <w:sz w:val="28"/>
          <w:szCs w:val="28"/>
        </w:rPr>
        <w:t>Normal</w:t>
      </w:r>
    </w:p>
    <w:p w:rsidR="00124CCC" w:rsidRDefault="00C70795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Data de Conclusão à Procuradoria: </w:t>
      </w:r>
      <w:r w:rsidR="00292EF7">
        <w:rPr>
          <w:rFonts w:ascii="Arial" w:eastAsia="Arial" w:hAnsi="Arial" w:cs="Arial"/>
          <w:sz w:val="28"/>
          <w:szCs w:val="28"/>
        </w:rPr>
        <w:t>16</w:t>
      </w:r>
      <w:r>
        <w:rPr>
          <w:rFonts w:ascii="Arial" w:eastAsia="Arial" w:hAnsi="Arial" w:cs="Arial"/>
          <w:sz w:val="28"/>
          <w:szCs w:val="28"/>
        </w:rPr>
        <w:t>/</w:t>
      </w:r>
      <w:r w:rsidR="00292EF7">
        <w:rPr>
          <w:rFonts w:ascii="Arial" w:eastAsia="Arial" w:hAnsi="Arial" w:cs="Arial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0</w:t>
      </w:r>
      <w:r>
        <w:rPr>
          <w:rFonts w:ascii="Arial" w:eastAsia="Arial" w:hAnsi="Arial" w:cs="Arial"/>
          <w:sz w:val="28"/>
          <w:szCs w:val="28"/>
        </w:rPr>
        <w:t>/2025</w:t>
      </w:r>
      <w:r>
        <w:rPr>
          <w:rFonts w:ascii="Arial" w:eastAsia="Arial" w:hAnsi="Arial" w:cs="Arial"/>
          <w:sz w:val="28"/>
          <w:szCs w:val="28"/>
        </w:rPr>
        <w:tab/>
      </w:r>
    </w:p>
    <w:p w:rsidR="00124CCC" w:rsidRDefault="00124CCC">
      <w:pPr>
        <w:pStyle w:val="normal0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:rsidR="00124CCC" w:rsidRDefault="00124CCC">
      <w:pPr>
        <w:pStyle w:val="normal0"/>
        <w:rPr>
          <w:rFonts w:ascii="Arial" w:eastAsia="Arial" w:hAnsi="Arial" w:cs="Arial"/>
          <w:sz w:val="28"/>
          <w:szCs w:val="28"/>
        </w:rPr>
      </w:pPr>
    </w:p>
    <w:p w:rsidR="00292EF7" w:rsidRDefault="00C70795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 xml:space="preserve">Trata-se de mensagem de origem do Poder Executivo Municipal, cujo mérito solicita aprovação do Colendo Plenário para Projeto de Lei que </w:t>
      </w:r>
      <w:r w:rsidR="00292EF7" w:rsidRPr="00292EF7">
        <w:rPr>
          <w:rFonts w:ascii="Arial" w:eastAsia="Arial" w:hAnsi="Arial" w:cs="Arial"/>
          <w:b/>
          <w:i/>
          <w:sz w:val="28"/>
          <w:szCs w:val="28"/>
        </w:rPr>
        <w:t xml:space="preserve">“Concede Incentivo Fiscal de Redução da Alíquota de ISSQN à Empresa </w:t>
      </w:r>
      <w:proofErr w:type="spellStart"/>
      <w:r w:rsidR="00292EF7" w:rsidRPr="00292EF7">
        <w:rPr>
          <w:rFonts w:ascii="Arial" w:eastAsia="Arial" w:hAnsi="Arial" w:cs="Arial"/>
          <w:b/>
          <w:i/>
          <w:sz w:val="28"/>
          <w:szCs w:val="28"/>
        </w:rPr>
        <w:t>Friozem</w:t>
      </w:r>
      <w:proofErr w:type="spellEnd"/>
      <w:r w:rsidR="00292EF7" w:rsidRPr="00292EF7">
        <w:rPr>
          <w:rFonts w:ascii="Arial" w:eastAsia="Arial" w:hAnsi="Arial" w:cs="Arial"/>
          <w:b/>
          <w:i/>
          <w:sz w:val="28"/>
          <w:szCs w:val="28"/>
        </w:rPr>
        <w:t xml:space="preserve"> Armazéns Frigoríficos LTDA., conforme a Lei Complementar nº 13, de 25 de junho de 2021 e alterações.</w:t>
      </w:r>
      <w:proofErr w:type="gramStart"/>
      <w:r w:rsidR="00292EF7" w:rsidRPr="00292EF7">
        <w:rPr>
          <w:rFonts w:ascii="Arial" w:eastAsia="Arial" w:hAnsi="Arial" w:cs="Arial"/>
          <w:b/>
          <w:i/>
          <w:sz w:val="28"/>
          <w:szCs w:val="28"/>
        </w:rPr>
        <w:t>”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</w:t>
      </w:r>
    </w:p>
    <w:p w:rsidR="00292EF7" w:rsidRDefault="00292EF7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Constam dos autos eletrônicos os seguintes documentos:</w:t>
      </w:r>
    </w:p>
    <w:p w:rsidR="00124CCC" w:rsidRDefault="00124CCC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292EF7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93495</w:t>
      </w:r>
      <w:r w:rsidR="00C70795">
        <w:rPr>
          <w:rFonts w:ascii="Arial" w:eastAsia="Arial" w:hAnsi="Arial" w:cs="Arial"/>
          <w:sz w:val="28"/>
          <w:szCs w:val="28"/>
        </w:rPr>
        <w:t xml:space="preserve"> (</w:t>
      </w:r>
      <w:proofErr w:type="spellStart"/>
      <w:r w:rsidR="00C70795">
        <w:rPr>
          <w:rFonts w:ascii="Arial" w:eastAsia="Arial" w:hAnsi="Arial" w:cs="Arial"/>
          <w:sz w:val="28"/>
          <w:szCs w:val="28"/>
        </w:rPr>
        <w:t>pdf</w:t>
      </w:r>
      <w:proofErr w:type="spellEnd"/>
      <w:r w:rsidR="00C70795">
        <w:rPr>
          <w:rFonts w:ascii="Arial" w:eastAsia="Arial" w:hAnsi="Arial" w:cs="Arial"/>
          <w:sz w:val="28"/>
          <w:szCs w:val="28"/>
        </w:rPr>
        <w:t xml:space="preserve">, </w:t>
      </w:r>
      <w:proofErr w:type="gramStart"/>
      <w:r w:rsidR="00C70795">
        <w:rPr>
          <w:rFonts w:ascii="Arial" w:eastAsia="Arial" w:hAnsi="Arial" w:cs="Arial"/>
          <w:sz w:val="28"/>
          <w:szCs w:val="28"/>
        </w:rPr>
        <w:t>4</w:t>
      </w:r>
      <w:proofErr w:type="gramEnd"/>
      <w:r w:rsidR="00C70795">
        <w:rPr>
          <w:rFonts w:ascii="Arial" w:eastAsia="Arial" w:hAnsi="Arial" w:cs="Arial"/>
          <w:sz w:val="28"/>
          <w:szCs w:val="28"/>
        </w:rPr>
        <w:t xml:space="preserve"> páginas);</w:t>
      </w:r>
    </w:p>
    <w:p w:rsidR="00124CCC" w:rsidRDefault="00292EF7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93496 (</w:t>
      </w:r>
      <w:proofErr w:type="spellStart"/>
      <w:r>
        <w:rPr>
          <w:rFonts w:ascii="Arial" w:eastAsia="Arial" w:hAnsi="Arial" w:cs="Arial"/>
          <w:sz w:val="28"/>
          <w:szCs w:val="28"/>
        </w:rPr>
        <w:t>pdf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, </w:t>
      </w:r>
      <w:proofErr w:type="gramStart"/>
      <w:r>
        <w:rPr>
          <w:rFonts w:ascii="Arial" w:eastAsia="Arial" w:hAnsi="Arial" w:cs="Arial"/>
          <w:sz w:val="28"/>
          <w:szCs w:val="28"/>
        </w:rPr>
        <w:t>2</w:t>
      </w:r>
      <w:proofErr w:type="gramEnd"/>
      <w:r w:rsidR="00C70795">
        <w:rPr>
          <w:rFonts w:ascii="Arial" w:eastAsia="Arial" w:hAnsi="Arial" w:cs="Arial"/>
          <w:sz w:val="28"/>
          <w:szCs w:val="28"/>
        </w:rPr>
        <w:t xml:space="preserve"> páginas).</w:t>
      </w:r>
    </w:p>
    <w:p w:rsidR="00292EF7" w:rsidRDefault="00292EF7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93497 (</w:t>
      </w:r>
      <w:proofErr w:type="spellStart"/>
      <w:r>
        <w:rPr>
          <w:rFonts w:ascii="Arial" w:eastAsia="Arial" w:hAnsi="Arial" w:cs="Arial"/>
          <w:sz w:val="28"/>
          <w:szCs w:val="28"/>
        </w:rPr>
        <w:t>pfd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, </w:t>
      </w:r>
      <w:proofErr w:type="gramStart"/>
      <w:r>
        <w:rPr>
          <w:rFonts w:ascii="Arial" w:eastAsia="Arial" w:hAnsi="Arial" w:cs="Arial"/>
          <w:sz w:val="28"/>
          <w:szCs w:val="28"/>
        </w:rPr>
        <w:t>1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páginas);</w:t>
      </w:r>
    </w:p>
    <w:p w:rsidR="00292EF7" w:rsidRDefault="00292EF7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93498 (</w:t>
      </w:r>
      <w:proofErr w:type="spellStart"/>
      <w:r>
        <w:rPr>
          <w:rFonts w:ascii="Arial" w:eastAsia="Arial" w:hAnsi="Arial" w:cs="Arial"/>
          <w:sz w:val="28"/>
          <w:szCs w:val="28"/>
        </w:rPr>
        <w:t>pdf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, </w:t>
      </w:r>
      <w:proofErr w:type="gramStart"/>
      <w:r>
        <w:rPr>
          <w:rFonts w:ascii="Arial" w:eastAsia="Arial" w:hAnsi="Arial" w:cs="Arial"/>
          <w:sz w:val="28"/>
          <w:szCs w:val="28"/>
        </w:rPr>
        <w:t>1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página).</w:t>
      </w:r>
    </w:p>
    <w:p w:rsidR="00292EF7" w:rsidRDefault="00292EF7" w:rsidP="00292EF7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292EF7" w:rsidRDefault="00292EF7" w:rsidP="00292EF7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Breve é o relatório. </w:t>
      </w:r>
    </w:p>
    <w:p w:rsidR="00124CCC" w:rsidRDefault="00124CCC">
      <w:pPr>
        <w:pStyle w:val="normal0"/>
        <w:ind w:left="720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124CCC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</w:p>
    <w:p w:rsidR="00124CCC" w:rsidRDefault="00124CCC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292EF7" w:rsidRDefault="00C70795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O projeto de lei em análise vincula-se à Lei Complementar nº 13, de 25 de junho de 2021, que instituiu o Programa de Inovação, Valorização e Reconstrução Social e Econômica do Município de Sapucaia do Sul (INOVAR). </w:t>
      </w:r>
    </w:p>
    <w:p w:rsidR="00292EF7" w:rsidRDefault="00292EF7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O referido programa tem como objetivo o </w:t>
      </w:r>
      <w:r>
        <w:rPr>
          <w:rFonts w:ascii="Arial" w:eastAsia="Arial" w:hAnsi="Arial" w:cs="Arial"/>
          <w:sz w:val="28"/>
          <w:szCs w:val="28"/>
        </w:rPr>
        <w:t>desenvolvimento econômico local, a geração de empregos e renda, e a expansão de empresas já existentes ou a instalação de novos empreendimentos.</w:t>
      </w:r>
    </w:p>
    <w:p w:rsidR="00124CCC" w:rsidRDefault="00124CCC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292EF7" w:rsidRDefault="00C70795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Segundo informado por ocasião da mensagem justificativa (</w:t>
      </w:r>
      <w:proofErr w:type="spellStart"/>
      <w:r>
        <w:rPr>
          <w:rFonts w:ascii="Arial" w:eastAsia="Arial" w:hAnsi="Arial" w:cs="Arial"/>
          <w:sz w:val="28"/>
          <w:szCs w:val="28"/>
        </w:rPr>
        <w:t>doc</w:t>
      </w:r>
      <w:proofErr w:type="spellEnd"/>
      <w:r>
        <w:rPr>
          <w:rFonts w:ascii="Arial" w:eastAsia="Arial" w:hAnsi="Arial" w:cs="Arial"/>
          <w:sz w:val="28"/>
          <w:szCs w:val="28"/>
        </w:rPr>
        <w:t>. ID 9</w:t>
      </w:r>
      <w:r>
        <w:rPr>
          <w:rFonts w:ascii="Arial" w:eastAsia="Arial" w:hAnsi="Arial" w:cs="Arial"/>
          <w:sz w:val="28"/>
          <w:szCs w:val="28"/>
        </w:rPr>
        <w:t>3</w:t>
      </w:r>
      <w:r w:rsidR="00292EF7">
        <w:rPr>
          <w:rFonts w:ascii="Arial" w:eastAsia="Arial" w:hAnsi="Arial" w:cs="Arial"/>
          <w:sz w:val="28"/>
          <w:szCs w:val="28"/>
        </w:rPr>
        <w:t>495</w:t>
      </w:r>
      <w:r>
        <w:rPr>
          <w:rFonts w:ascii="Arial" w:eastAsia="Arial" w:hAnsi="Arial" w:cs="Arial"/>
          <w:sz w:val="28"/>
          <w:szCs w:val="28"/>
        </w:rPr>
        <w:t>, p.2), o pedido de isenção foi submetid</w:t>
      </w:r>
      <w:r>
        <w:rPr>
          <w:rFonts w:ascii="Arial" w:eastAsia="Arial" w:hAnsi="Arial" w:cs="Arial"/>
          <w:sz w:val="28"/>
          <w:szCs w:val="28"/>
        </w:rPr>
        <w:t xml:space="preserve">o à avaliação pelo Comitê de Avaliação de Incentivos Fiscais e Benefícios Econômicos (CAINF), instituído pela referida lei, que examinou o respectivo processo e deliberou pela concessão do benefício. </w:t>
      </w:r>
    </w:p>
    <w:p w:rsidR="00292EF7" w:rsidRDefault="00292EF7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 esse respeito, a proposição também é acompanhada por r</w:t>
      </w:r>
      <w:r>
        <w:rPr>
          <w:rFonts w:ascii="Arial" w:eastAsia="Arial" w:hAnsi="Arial" w:cs="Arial"/>
          <w:sz w:val="28"/>
          <w:szCs w:val="28"/>
        </w:rPr>
        <w:t>elatórios da Secretaria Municipal da Fazenda, por intermédio da Diretoria de Arrecadação e Administração Tributária (</w:t>
      </w:r>
      <w:proofErr w:type="spellStart"/>
      <w:r>
        <w:rPr>
          <w:rFonts w:ascii="Arial" w:eastAsia="Arial" w:hAnsi="Arial" w:cs="Arial"/>
          <w:sz w:val="28"/>
          <w:szCs w:val="28"/>
        </w:rPr>
        <w:t>doc</w:t>
      </w:r>
      <w:proofErr w:type="spellEnd"/>
      <w:r>
        <w:rPr>
          <w:rFonts w:ascii="Arial" w:eastAsia="Arial" w:hAnsi="Arial" w:cs="Arial"/>
          <w:sz w:val="28"/>
          <w:szCs w:val="28"/>
        </w:rPr>
        <w:t>.</w:t>
      </w:r>
      <w:r w:rsidR="00292EF7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ID 9</w:t>
      </w:r>
      <w:r w:rsidR="00292EF7">
        <w:rPr>
          <w:rFonts w:ascii="Arial" w:eastAsia="Arial" w:hAnsi="Arial" w:cs="Arial"/>
          <w:sz w:val="28"/>
          <w:szCs w:val="28"/>
        </w:rPr>
        <w:t>3496</w:t>
      </w:r>
      <w:r>
        <w:rPr>
          <w:rFonts w:ascii="Arial" w:eastAsia="Arial" w:hAnsi="Arial" w:cs="Arial"/>
          <w:sz w:val="28"/>
          <w:szCs w:val="28"/>
        </w:rPr>
        <w:t xml:space="preserve"> p.</w:t>
      </w:r>
      <w:r w:rsidR="00292EF7">
        <w:rPr>
          <w:rFonts w:ascii="Arial" w:eastAsia="Arial" w:hAnsi="Arial" w:cs="Arial"/>
          <w:sz w:val="28"/>
          <w:szCs w:val="28"/>
        </w:rPr>
        <w:t>1/3</w:t>
      </w:r>
      <w:r>
        <w:rPr>
          <w:rFonts w:ascii="Arial" w:eastAsia="Arial" w:hAnsi="Arial" w:cs="Arial"/>
          <w:sz w:val="28"/>
          <w:szCs w:val="28"/>
        </w:rPr>
        <w:t>), e o competente estudo de impacto orçamentário-financeiro com estimativa de compensação da renúncia de receita (</w:t>
      </w:r>
      <w:proofErr w:type="spellStart"/>
      <w:proofErr w:type="gramStart"/>
      <w:r>
        <w:rPr>
          <w:rFonts w:ascii="Arial" w:eastAsia="Arial" w:hAnsi="Arial" w:cs="Arial"/>
          <w:sz w:val="28"/>
          <w:szCs w:val="28"/>
        </w:rPr>
        <w:t>doc</w:t>
      </w:r>
      <w:proofErr w:type="spellEnd"/>
      <w:r>
        <w:rPr>
          <w:rFonts w:ascii="Arial" w:eastAsia="Arial" w:hAnsi="Arial" w:cs="Arial"/>
          <w:sz w:val="28"/>
          <w:szCs w:val="28"/>
        </w:rPr>
        <w:t>.</w:t>
      </w:r>
      <w:proofErr w:type="gramEnd"/>
      <w:r>
        <w:rPr>
          <w:rFonts w:ascii="Arial" w:eastAsia="Arial" w:hAnsi="Arial" w:cs="Arial"/>
          <w:sz w:val="28"/>
          <w:szCs w:val="28"/>
        </w:rPr>
        <w:t>ID</w:t>
      </w:r>
      <w:r>
        <w:rPr>
          <w:rFonts w:ascii="Arial" w:eastAsia="Arial" w:hAnsi="Arial" w:cs="Arial"/>
          <w:sz w:val="28"/>
          <w:szCs w:val="28"/>
        </w:rPr>
        <w:t xml:space="preserve"> 9</w:t>
      </w:r>
      <w:r w:rsidR="00292EF7">
        <w:rPr>
          <w:rFonts w:ascii="Arial" w:eastAsia="Arial" w:hAnsi="Arial" w:cs="Arial"/>
          <w:sz w:val="28"/>
          <w:szCs w:val="28"/>
        </w:rPr>
        <w:t>3497</w:t>
      </w:r>
      <w:r>
        <w:rPr>
          <w:rFonts w:ascii="Arial" w:eastAsia="Arial" w:hAnsi="Arial" w:cs="Arial"/>
          <w:sz w:val="28"/>
          <w:szCs w:val="28"/>
        </w:rPr>
        <w:t>, p.1)</w:t>
      </w:r>
      <w:r w:rsidR="00292EF7">
        <w:rPr>
          <w:rFonts w:ascii="Arial" w:eastAsia="Arial" w:hAnsi="Arial" w:cs="Arial"/>
          <w:sz w:val="28"/>
          <w:szCs w:val="28"/>
        </w:rPr>
        <w:t xml:space="preserve"> e Declaração de Adequação Orçamentária (</w:t>
      </w:r>
      <w:proofErr w:type="spellStart"/>
      <w:r w:rsidR="00292EF7">
        <w:rPr>
          <w:rFonts w:ascii="Arial" w:eastAsia="Arial" w:hAnsi="Arial" w:cs="Arial"/>
          <w:sz w:val="28"/>
          <w:szCs w:val="28"/>
        </w:rPr>
        <w:t>doc</w:t>
      </w:r>
      <w:proofErr w:type="spellEnd"/>
      <w:r w:rsidR="00292EF7">
        <w:rPr>
          <w:rFonts w:ascii="Arial" w:eastAsia="Arial" w:hAnsi="Arial" w:cs="Arial"/>
          <w:sz w:val="28"/>
          <w:szCs w:val="28"/>
        </w:rPr>
        <w:t>. ID 93498, p. 1)</w:t>
      </w:r>
      <w:r>
        <w:rPr>
          <w:rFonts w:ascii="Arial" w:eastAsia="Arial" w:hAnsi="Arial" w:cs="Arial"/>
          <w:sz w:val="28"/>
          <w:szCs w:val="28"/>
        </w:rPr>
        <w:t>.</w:t>
      </w:r>
    </w:p>
    <w:p w:rsidR="00124CCC" w:rsidRDefault="00124CCC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Considerando, pois, que os requisitos legais da espécie estão contemplados com o estudo de impacto orçamentário-financeiro contendo a estimativa de compensação da r</w:t>
      </w:r>
      <w:r w:rsidR="00292EF7">
        <w:rPr>
          <w:rFonts w:ascii="Arial" w:eastAsia="Arial" w:hAnsi="Arial" w:cs="Arial"/>
          <w:sz w:val="28"/>
          <w:szCs w:val="28"/>
        </w:rPr>
        <w:t>enúncia de receita (</w:t>
      </w:r>
      <w:proofErr w:type="spellStart"/>
      <w:proofErr w:type="gramStart"/>
      <w:r w:rsidR="00292EF7">
        <w:rPr>
          <w:rFonts w:ascii="Arial" w:eastAsia="Arial" w:hAnsi="Arial" w:cs="Arial"/>
          <w:sz w:val="28"/>
          <w:szCs w:val="28"/>
        </w:rPr>
        <w:t>doc</w:t>
      </w:r>
      <w:proofErr w:type="spellEnd"/>
      <w:r w:rsidR="00292EF7">
        <w:rPr>
          <w:rFonts w:ascii="Arial" w:eastAsia="Arial" w:hAnsi="Arial" w:cs="Arial"/>
          <w:sz w:val="28"/>
          <w:szCs w:val="28"/>
        </w:rPr>
        <w:t>.</w:t>
      </w:r>
      <w:proofErr w:type="gramEnd"/>
      <w:r w:rsidR="00292EF7">
        <w:rPr>
          <w:rFonts w:ascii="Arial" w:eastAsia="Arial" w:hAnsi="Arial" w:cs="Arial"/>
          <w:sz w:val="28"/>
          <w:szCs w:val="28"/>
        </w:rPr>
        <w:t>ID 93497</w:t>
      </w:r>
      <w:r>
        <w:rPr>
          <w:rFonts w:ascii="Arial" w:eastAsia="Arial" w:hAnsi="Arial" w:cs="Arial"/>
          <w:sz w:val="28"/>
          <w:szCs w:val="28"/>
        </w:rPr>
        <w:t>, p.1), opina-se, neste aspecto, pela possibi</w:t>
      </w:r>
      <w:r>
        <w:rPr>
          <w:rFonts w:ascii="Arial" w:eastAsia="Arial" w:hAnsi="Arial" w:cs="Arial"/>
          <w:sz w:val="28"/>
          <w:szCs w:val="28"/>
        </w:rPr>
        <w:t xml:space="preserve">lidade de tramitação do Projeto de Lei. </w:t>
      </w:r>
    </w:p>
    <w:p w:rsidR="00124CCC" w:rsidRDefault="00124CCC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Quanto aos demais aspectos da legislação em análise, tratando-se de uma questão tão sensível como a concessão de um benefício fiscal, que pode ter implicações financeiras e legais, ficam estes vinculados ao parecer</w:t>
      </w:r>
      <w:r>
        <w:rPr>
          <w:rFonts w:ascii="Arial" w:eastAsia="Arial" w:hAnsi="Arial" w:cs="Arial"/>
          <w:sz w:val="28"/>
          <w:szCs w:val="28"/>
        </w:rPr>
        <w:t xml:space="preserve"> da Procuradoria-Geral do Município que subsidiou a respectiva decisão do Chefe do Poder Executivo, avaliando legalidade e a constitucionalidade das medidas nele propostas.</w:t>
      </w:r>
    </w:p>
    <w:p w:rsidR="00124CCC" w:rsidRDefault="00C70795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Por fim, adentrando </w:t>
      </w:r>
      <w:proofErr w:type="gramStart"/>
      <w:r>
        <w:rPr>
          <w:rFonts w:ascii="Arial" w:eastAsia="Arial" w:hAnsi="Arial" w:cs="Arial"/>
          <w:sz w:val="28"/>
          <w:szCs w:val="28"/>
        </w:rPr>
        <w:t>à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tramitação do Processo Legislativo, registramos que a deliberação pelo plenário da nobre Casa Legislativa </w:t>
      </w:r>
      <w:r>
        <w:rPr>
          <w:rFonts w:ascii="Arial" w:eastAsia="Arial" w:hAnsi="Arial" w:cs="Arial"/>
          <w:sz w:val="28"/>
          <w:szCs w:val="28"/>
        </w:rPr>
        <w:lastRenderedPageBreak/>
        <w:t>deve ser precedida da manifestação das seguintes comissões permanentes:</w:t>
      </w:r>
    </w:p>
    <w:p w:rsidR="00124CCC" w:rsidRDefault="00C70795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a)</w:t>
      </w:r>
      <w:proofErr w:type="gramStart"/>
      <w:r>
        <w:rPr>
          <w:rFonts w:ascii="Arial" w:eastAsia="Arial" w:hAnsi="Arial" w:cs="Arial"/>
          <w:sz w:val="28"/>
          <w:szCs w:val="28"/>
        </w:rPr>
        <w:t xml:space="preserve">  </w:t>
      </w:r>
      <w:proofErr w:type="gramEnd"/>
      <w:r>
        <w:rPr>
          <w:rFonts w:ascii="Arial" w:eastAsia="Arial" w:hAnsi="Arial" w:cs="Arial"/>
          <w:sz w:val="28"/>
          <w:szCs w:val="28"/>
        </w:rPr>
        <w:tab/>
        <w:t>LEGISLAÇÃO E JUSTIÇA, por ser condição de tramitaçã</w:t>
      </w:r>
      <w:r>
        <w:rPr>
          <w:rFonts w:ascii="Arial" w:eastAsia="Arial" w:hAnsi="Arial" w:cs="Arial"/>
          <w:sz w:val="28"/>
          <w:szCs w:val="28"/>
        </w:rPr>
        <w:t xml:space="preserve">o do processo legislativo para todas as proposições em geral: </w:t>
      </w:r>
    </w:p>
    <w:p w:rsidR="00124CCC" w:rsidRDefault="00124CCC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76- Compete à Comissão de Legislação e Justiça manifestar-se sobre todos os assuntos nos aspectos constitucional, redacional e legal e, quando já aprovados pelo Plenário, analisá-los sob </w:t>
      </w:r>
      <w:r>
        <w:rPr>
          <w:rFonts w:ascii="Arial" w:eastAsia="Arial" w:hAnsi="Arial" w:cs="Arial"/>
          <w:sz w:val="28"/>
          <w:szCs w:val="28"/>
        </w:rPr>
        <w:t>os aspectos lógico e gramatical, de modo a adequar ao bom vernáculo o texto das proposições.</w:t>
      </w:r>
    </w:p>
    <w:p w:rsidR="00124CCC" w:rsidRDefault="00C70795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§ 1º- Salvo expressa disposição em contrário deste Regimento, é obrigatória a audiência da Comissão de Legislação e Justiça em todos os projetos de lei e determina</w:t>
      </w:r>
      <w:r>
        <w:rPr>
          <w:rFonts w:ascii="Arial" w:eastAsia="Arial" w:hAnsi="Arial" w:cs="Arial"/>
          <w:sz w:val="28"/>
          <w:szCs w:val="28"/>
        </w:rPr>
        <w:t xml:space="preserve">das matérias que tramitarem pela Câmara. </w:t>
      </w:r>
    </w:p>
    <w:p w:rsidR="00124CCC" w:rsidRDefault="00124CCC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b) FINANÇAS E ORÇAMENTO, por competência específica, eis que a proposição envolve matéria com repercussão financeira:</w:t>
      </w:r>
    </w:p>
    <w:p w:rsidR="00124CCC" w:rsidRDefault="00124CCC">
      <w:pPr>
        <w:pStyle w:val="normal0"/>
        <w:spacing w:line="276" w:lineRule="auto"/>
        <w:ind w:left="3540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77- Compete à Comissão de Finanças e Orçamento opinar obrigatoriamente sobre todas as mat</w:t>
      </w:r>
      <w:r>
        <w:rPr>
          <w:rFonts w:ascii="Arial" w:eastAsia="Arial" w:hAnsi="Arial" w:cs="Arial"/>
          <w:sz w:val="28"/>
          <w:szCs w:val="28"/>
        </w:rPr>
        <w:t>érias de caráter financeiro, e especialmente quando for o caso de: (...) IV - proposições referentes a matérias tributárias; abertura de créditos; empréstimos públicos e as que, direta ou indiretamente, alterem a despesa ou a receita do Município, acarrete</w:t>
      </w:r>
      <w:r>
        <w:rPr>
          <w:rFonts w:ascii="Arial" w:eastAsia="Arial" w:hAnsi="Arial" w:cs="Arial"/>
          <w:sz w:val="28"/>
          <w:szCs w:val="28"/>
        </w:rPr>
        <w:t>m responsabilidades ao Erário Municipal ou interessem ao crédito e ao Patrimônio Público Municipal;</w:t>
      </w:r>
    </w:p>
    <w:p w:rsidR="00124CCC" w:rsidRDefault="00124CCC">
      <w:pPr>
        <w:pStyle w:val="normal0"/>
        <w:spacing w:line="276" w:lineRule="auto"/>
        <w:ind w:left="3540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124CCC">
      <w:pPr>
        <w:pStyle w:val="normal0"/>
        <w:spacing w:line="276" w:lineRule="auto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spacing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c) SERVIÇOS URBANOS, pois o incentivo fiscal concedido diz respeito à instalação de empreendimento no município:</w:t>
      </w:r>
    </w:p>
    <w:p w:rsidR="00124CCC" w:rsidRDefault="00C70795">
      <w:pPr>
        <w:pStyle w:val="normal0"/>
        <w:spacing w:line="276" w:lineRule="auto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124CCC" w:rsidRDefault="00C70795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78- Compete à Comissão de Serviços</w:t>
      </w:r>
      <w:r>
        <w:rPr>
          <w:rFonts w:ascii="Arial" w:eastAsia="Arial" w:hAnsi="Arial" w:cs="Arial"/>
          <w:sz w:val="28"/>
          <w:szCs w:val="28"/>
        </w:rPr>
        <w:t xml:space="preserve"> Urbanos, Habitação e Segurança opinar nas matérias referentes a quaisquer obras públicas, empreendimentos, habitação, segurança e execução de serviços públicos </w:t>
      </w:r>
      <w:r>
        <w:rPr>
          <w:rFonts w:ascii="Arial" w:eastAsia="Arial" w:hAnsi="Arial" w:cs="Arial"/>
          <w:sz w:val="28"/>
          <w:szCs w:val="28"/>
        </w:rPr>
        <w:lastRenderedPageBreak/>
        <w:t xml:space="preserve">locais e ligados às atividades produtivas em geral, oficiais ou particulares, sobre trânsito e </w:t>
      </w:r>
      <w:r>
        <w:rPr>
          <w:rFonts w:ascii="Arial" w:eastAsia="Arial" w:hAnsi="Arial" w:cs="Arial"/>
          <w:sz w:val="28"/>
          <w:szCs w:val="28"/>
        </w:rPr>
        <w:t>transporte e comunicação em geral e, especialmente, sobre o Plano de Desenvolvimento do Município e suas alterações.</w:t>
      </w:r>
    </w:p>
    <w:p w:rsidR="00124CCC" w:rsidRDefault="00C70795">
      <w:pPr>
        <w:pStyle w:val="normal0"/>
        <w:spacing w:line="276" w:lineRule="auto"/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124CCC" w:rsidRDefault="00124CCC">
      <w:pPr>
        <w:pStyle w:val="normal0"/>
        <w:spacing w:line="276" w:lineRule="auto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Ainda a respeito do processo legislativo, destacamos que a natureza da matéria em deliberação demanda aprovação por quorum qualificado,</w:t>
      </w:r>
      <w:r>
        <w:rPr>
          <w:rFonts w:ascii="Arial" w:eastAsia="Arial" w:hAnsi="Arial" w:cs="Arial"/>
          <w:sz w:val="28"/>
          <w:szCs w:val="28"/>
        </w:rPr>
        <w:t xml:space="preserve"> segundo a LOM: </w:t>
      </w:r>
    </w:p>
    <w:p w:rsidR="00124CCC" w:rsidRDefault="00124CCC">
      <w:pPr>
        <w:pStyle w:val="normal0"/>
        <w:spacing w:line="276" w:lineRule="auto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124CCC">
      <w:pPr>
        <w:pStyle w:val="normal0"/>
        <w:spacing w:line="276" w:lineRule="auto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ind w:left="2160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52 As discussões e votações das matérias constantes da ordem do dia serão efetuadas com a presença da maioria absoluta dos membros da Câmara Municipal. (...) § 2º</w:t>
      </w:r>
      <w:r>
        <w:rPr>
          <w:rFonts w:ascii="Arial" w:eastAsia="Arial" w:hAnsi="Arial" w:cs="Arial"/>
          <w:b/>
          <w:sz w:val="28"/>
          <w:szCs w:val="28"/>
        </w:rPr>
        <w:t xml:space="preserve"> Dependerá do voto favorável de dois terços dos membros da Câmara Muni</w:t>
      </w:r>
      <w:r>
        <w:rPr>
          <w:rFonts w:ascii="Arial" w:eastAsia="Arial" w:hAnsi="Arial" w:cs="Arial"/>
          <w:b/>
          <w:sz w:val="28"/>
          <w:szCs w:val="28"/>
        </w:rPr>
        <w:t>cipal</w:t>
      </w:r>
      <w:r>
        <w:rPr>
          <w:rFonts w:ascii="Arial" w:eastAsia="Arial" w:hAnsi="Arial" w:cs="Arial"/>
          <w:sz w:val="28"/>
          <w:szCs w:val="28"/>
        </w:rPr>
        <w:t xml:space="preserve"> a aprovação: I - das leis concernentes: d)</w:t>
      </w:r>
      <w:r>
        <w:rPr>
          <w:rFonts w:ascii="Arial" w:eastAsia="Arial" w:hAnsi="Arial" w:cs="Arial"/>
          <w:b/>
          <w:sz w:val="28"/>
          <w:szCs w:val="28"/>
        </w:rPr>
        <w:t xml:space="preserve"> à concessão de isenção de impostos na forma da lei.</w:t>
      </w:r>
    </w:p>
    <w:p w:rsidR="00124CCC" w:rsidRDefault="00124CCC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spacing w:line="360" w:lineRule="auto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CONSIDERAÇÕES FINAIS</w:t>
      </w:r>
    </w:p>
    <w:p w:rsidR="00124CCC" w:rsidRDefault="00124CCC">
      <w:pPr>
        <w:pStyle w:val="normal0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Em conformidade com os fundamentos normativos apresentados acima, encaminhamos o expediente ao prosseguimento opinando pela </w:t>
      </w:r>
      <w:r>
        <w:rPr>
          <w:rFonts w:ascii="Arial" w:eastAsia="Arial" w:hAnsi="Arial" w:cs="Arial"/>
          <w:b/>
          <w:sz w:val="28"/>
          <w:szCs w:val="28"/>
        </w:rPr>
        <w:t>viabilidade de tramitação</w:t>
      </w:r>
      <w:r>
        <w:rPr>
          <w:rFonts w:ascii="Arial" w:eastAsia="Arial" w:hAnsi="Arial" w:cs="Arial"/>
          <w:sz w:val="28"/>
          <w:szCs w:val="28"/>
        </w:rPr>
        <w:t xml:space="preserve">. Assevera-se, </w:t>
      </w:r>
      <w:proofErr w:type="gramStart"/>
      <w:r>
        <w:rPr>
          <w:rFonts w:ascii="Arial" w:eastAsia="Arial" w:hAnsi="Arial" w:cs="Arial"/>
          <w:sz w:val="28"/>
          <w:szCs w:val="28"/>
        </w:rPr>
        <w:t>outrossim</w:t>
      </w:r>
      <w:proofErr w:type="gramEnd"/>
      <w:r>
        <w:rPr>
          <w:rFonts w:ascii="Arial" w:eastAsia="Arial" w:hAnsi="Arial" w:cs="Arial"/>
          <w:sz w:val="28"/>
          <w:szCs w:val="28"/>
        </w:rPr>
        <w:t>, que o presente parecer tem natureza opinativa e não vin</w:t>
      </w:r>
      <w:r w:rsidR="00292EF7">
        <w:rPr>
          <w:rFonts w:ascii="Arial" w:eastAsia="Arial" w:hAnsi="Arial" w:cs="Arial"/>
          <w:sz w:val="28"/>
          <w:szCs w:val="28"/>
        </w:rPr>
        <w:t xml:space="preserve">cula a decisão das comissões. Encaminho </w:t>
      </w:r>
      <w:r>
        <w:rPr>
          <w:rFonts w:ascii="Arial" w:eastAsia="Arial" w:hAnsi="Arial" w:cs="Arial"/>
          <w:sz w:val="28"/>
          <w:szCs w:val="28"/>
        </w:rPr>
        <w:t>os autos à DIRETORIA LEGISLATIVA para as devidas diligências.</w:t>
      </w:r>
    </w:p>
    <w:p w:rsidR="00124CCC" w:rsidRDefault="00C70795">
      <w:pPr>
        <w:pStyle w:val="normal0"/>
        <w:spacing w:line="360" w:lineRule="auto"/>
        <w:ind w:firstLine="708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Pare</w:t>
      </w:r>
      <w:r>
        <w:rPr>
          <w:rFonts w:ascii="Arial" w:eastAsia="Arial" w:hAnsi="Arial" w:cs="Arial"/>
          <w:sz w:val="28"/>
          <w:szCs w:val="28"/>
        </w:rPr>
        <w:t xml:space="preserve">cer exarado em </w:t>
      </w:r>
      <w:r w:rsidR="00292EF7">
        <w:rPr>
          <w:rFonts w:ascii="Arial" w:eastAsia="Arial" w:hAnsi="Arial" w:cs="Arial"/>
          <w:sz w:val="28"/>
          <w:szCs w:val="28"/>
        </w:rPr>
        <w:t>17</w:t>
      </w:r>
      <w:r>
        <w:rPr>
          <w:rFonts w:ascii="Arial" w:eastAsia="Arial" w:hAnsi="Arial" w:cs="Arial"/>
          <w:sz w:val="28"/>
          <w:szCs w:val="28"/>
        </w:rPr>
        <w:t xml:space="preserve"> de </w:t>
      </w:r>
      <w:r w:rsidR="00292EF7">
        <w:rPr>
          <w:rFonts w:ascii="Arial" w:eastAsia="Arial" w:hAnsi="Arial" w:cs="Arial"/>
          <w:sz w:val="28"/>
          <w:szCs w:val="28"/>
        </w:rPr>
        <w:t>outubr</w:t>
      </w:r>
      <w:r>
        <w:rPr>
          <w:rFonts w:ascii="Arial" w:eastAsia="Arial" w:hAnsi="Arial" w:cs="Arial"/>
          <w:sz w:val="28"/>
          <w:szCs w:val="28"/>
        </w:rPr>
        <w:t>o de 2025</w:t>
      </w:r>
    </w:p>
    <w:p w:rsidR="00124CCC" w:rsidRDefault="00124CCC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</w:p>
    <w:p w:rsidR="00124CCC" w:rsidRDefault="00C70795">
      <w:pPr>
        <w:pStyle w:val="normal0"/>
        <w:jc w:val="right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João Roberto da Fonseca Junior</w:t>
      </w:r>
    </w:p>
    <w:p w:rsidR="00124CCC" w:rsidRDefault="00C70795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124CCC" w:rsidRDefault="00C70795">
      <w:pPr>
        <w:pStyle w:val="normal0"/>
        <w:jc w:val="right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sectPr w:rsidR="00124CCC" w:rsidSect="00124CCC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0795" w:rsidRDefault="00C70795" w:rsidP="00124CCC">
      <w:r>
        <w:separator/>
      </w:r>
    </w:p>
  </w:endnote>
  <w:endnote w:type="continuationSeparator" w:id="0">
    <w:p w:rsidR="00C70795" w:rsidRDefault="00C70795" w:rsidP="00124C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0795" w:rsidRDefault="00C70795" w:rsidP="00124CCC">
      <w:r>
        <w:separator/>
      </w:r>
    </w:p>
  </w:footnote>
  <w:footnote w:type="continuationSeparator" w:id="0">
    <w:p w:rsidR="00C70795" w:rsidRDefault="00C70795" w:rsidP="00124C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CCC" w:rsidRDefault="00C70795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124CCC" w:rsidRDefault="00C70795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124CCC" w:rsidRDefault="00C70795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124CCC" w:rsidRDefault="00124CCC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8B587D"/>
    <w:multiLevelType w:val="multilevel"/>
    <w:tmpl w:val="F90A7F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24CCC"/>
    <w:rsid w:val="00124CCC"/>
    <w:rsid w:val="00292EF7"/>
    <w:rsid w:val="00C70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124CCC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124CC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124CC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124CCC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124CCC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124CC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124CCC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124CCC"/>
  </w:style>
  <w:style w:type="paragraph" w:styleId="Ttulo">
    <w:name w:val="Title"/>
    <w:basedOn w:val="normal0"/>
    <w:next w:val="normal0"/>
    <w:rsid w:val="00124CCC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124CC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830</Words>
  <Characters>4485</Characters>
  <Application>Microsoft Office Word</Application>
  <DocSecurity>0</DocSecurity>
  <Lines>37</Lines>
  <Paragraphs>10</Paragraphs>
  <ScaleCrop>false</ScaleCrop>
  <Company/>
  <LinksUpToDate>false</LinksUpToDate>
  <CharactersWithSpaces>5305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Fonseca</dc:creator>
  <cp:lastModifiedBy>joao.fonseca</cp:lastModifiedBy>
  <cp:revision>2</cp:revision>
  <dcterms:created xsi:type="dcterms:W3CDTF">2025-10-17T13:16:00Z</dcterms:created>
  <dcterms:modified xsi:type="dcterms:W3CDTF">2025-10-17T13:16:00Z</dcterms:modified>
</cp:coreProperties>
</file>