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PLL 039/2025</w:t>
      </w:r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Nº do Processo: 28888</w:t>
      </w:r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 xml:space="preserve">Requerente: Ver. Ricardo </w:t>
      </w:r>
      <w:proofErr w:type="spellStart"/>
      <w:r>
        <w:rPr>
          <w:rFonts w:ascii="Arial" w:eastAsia="Arial" w:hAnsi="Arial" w:cs="Arial"/>
          <w:b/>
          <w:bCs/>
          <w:sz w:val="32"/>
          <w:szCs w:val="32"/>
        </w:rPr>
        <w:t>Vallim</w:t>
      </w:r>
      <w:proofErr w:type="spellEnd"/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Tipo de Proposição: Projeto de Lei do Legislativo (PLL)</w:t>
      </w:r>
    </w:p>
    <w:p w:rsidR="001936AF" w:rsidRDefault="007D3940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Data de Conclusão à Procuradoria: 11/12/2025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RELATÓRIO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40DA" w:rsidRDefault="007D3940">
      <w:pPr>
        <w:pStyle w:val="normal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Versa o expediente sobre proposição subscrita por Edil com assento nesta nobre Casa Legislativa, que solicita aprovação do Colendo Plenário para Projeto de Lei que </w:t>
      </w:r>
      <w:r w:rsidRPr="001940DA">
        <w:rPr>
          <w:rFonts w:ascii="Arial" w:eastAsia="Arial" w:hAnsi="Arial" w:cs="Arial"/>
          <w:b/>
          <w:sz w:val="28"/>
          <w:szCs w:val="28"/>
        </w:rPr>
        <w:t>“</w:t>
      </w:r>
      <w:r w:rsidRPr="001940DA">
        <w:rPr>
          <w:rFonts w:ascii="Arial" w:eastAsia="Arial" w:hAnsi="Arial" w:cs="Arial"/>
          <w:b/>
          <w:i/>
          <w:iCs/>
          <w:sz w:val="28"/>
          <w:szCs w:val="28"/>
        </w:rPr>
        <w:t xml:space="preserve">Dispõe sobre a obrigatoriedade de afixar em lugar visível e de fácil acesso ao público, </w:t>
      </w:r>
      <w:proofErr w:type="gramStart"/>
      <w:r w:rsidRPr="001940DA">
        <w:rPr>
          <w:rFonts w:ascii="Arial" w:eastAsia="Arial" w:hAnsi="Arial" w:cs="Arial"/>
          <w:b/>
          <w:i/>
          <w:iCs/>
          <w:sz w:val="28"/>
          <w:szCs w:val="28"/>
        </w:rPr>
        <w:t>a</w:t>
      </w:r>
      <w:proofErr w:type="gramEnd"/>
      <w:r w:rsidRPr="001940DA">
        <w:rPr>
          <w:rFonts w:ascii="Arial" w:eastAsia="Arial" w:hAnsi="Arial" w:cs="Arial"/>
          <w:b/>
          <w:i/>
          <w:iCs/>
          <w:sz w:val="28"/>
          <w:szCs w:val="28"/>
        </w:rPr>
        <w:t xml:space="preserve"> e</w:t>
      </w:r>
      <w:r w:rsidRPr="001940DA">
        <w:rPr>
          <w:rFonts w:ascii="Arial" w:eastAsia="Arial" w:hAnsi="Arial" w:cs="Arial"/>
          <w:b/>
          <w:i/>
          <w:iCs/>
          <w:sz w:val="28"/>
          <w:szCs w:val="28"/>
        </w:rPr>
        <w:t>scala de todos os funcionários de serviço e jornada de trabalho, naquele estabelecimento, incluindo técnicos, médicos plantonistas e suas especialidades, além do responsável pelo plantão em todas as Unidades de Saúde do Município, incluindo a Fundação Hosp</w:t>
      </w:r>
      <w:r w:rsidRPr="001940DA">
        <w:rPr>
          <w:rFonts w:ascii="Arial" w:eastAsia="Arial" w:hAnsi="Arial" w:cs="Arial"/>
          <w:b/>
          <w:i/>
          <w:iCs/>
          <w:sz w:val="28"/>
          <w:szCs w:val="28"/>
        </w:rPr>
        <w:t>italar Getúlio Vargas</w:t>
      </w:r>
      <w:r w:rsidRPr="001940DA">
        <w:rPr>
          <w:rFonts w:ascii="Arial" w:eastAsia="Arial" w:hAnsi="Arial" w:cs="Arial"/>
          <w:b/>
          <w:sz w:val="28"/>
          <w:szCs w:val="28"/>
        </w:rPr>
        <w:t xml:space="preserve">”. </w:t>
      </w:r>
    </w:p>
    <w:p w:rsidR="001940DA" w:rsidRDefault="001940DA">
      <w:pPr>
        <w:pStyle w:val="normal0"/>
        <w:jc w:val="both"/>
        <w:rPr>
          <w:rFonts w:ascii="Arial" w:eastAsia="Arial" w:hAnsi="Arial" w:cs="Arial"/>
          <w:b/>
          <w:sz w:val="28"/>
          <w:szCs w:val="28"/>
        </w:rPr>
      </w:pPr>
    </w:p>
    <w:p w:rsidR="001936AF" w:rsidRDefault="007D3940" w:rsidP="001940DA">
      <w:pPr>
        <w:pStyle w:val="normal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 dos autos eletrônicos o seguinte documento: ID 95836 (página única).</w:t>
      </w:r>
    </w:p>
    <w:p w:rsidR="001936AF" w:rsidRDefault="001936AF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PARECER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Relativamente à proposição em comento, verifica-se que a proposição contém óbices constitucionais e legais intransponíveis que comprometem sua v</w:t>
      </w:r>
      <w:r>
        <w:rPr>
          <w:rFonts w:ascii="Arial" w:eastAsia="Arial" w:hAnsi="Arial" w:cs="Arial"/>
          <w:sz w:val="28"/>
          <w:szCs w:val="28"/>
        </w:rPr>
        <w:t>alidade jurídica sob a ótica da iniciativa parlamentar. Embora a proposta busque fundamentação na Lei de Acesso à Informação e nos princípios da transparência administrativa, o conteúdo da norma interfere diretamente na organização e no funcionamento de ór</w:t>
      </w:r>
      <w:r>
        <w:rPr>
          <w:rFonts w:ascii="Arial" w:eastAsia="Arial" w:hAnsi="Arial" w:cs="Arial"/>
          <w:sz w:val="28"/>
          <w:szCs w:val="28"/>
        </w:rPr>
        <w:t>gãos do Poder Executivo e da administração indireta, como a Fundação Hospitalar Getúlio Vargas.</w:t>
      </w:r>
    </w:p>
    <w:p w:rsidR="001936AF" w:rsidRDefault="007D39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imposição de obrigações detalhadas sobre a gestão de pessoal e a forma de publicidade de escalas de trabalho em unidades de saúde configura uma invasão da co</w:t>
      </w:r>
      <w:r>
        <w:rPr>
          <w:rFonts w:ascii="Arial" w:eastAsia="Arial" w:hAnsi="Arial" w:cs="Arial"/>
          <w:sz w:val="28"/>
          <w:szCs w:val="28"/>
        </w:rPr>
        <w:t xml:space="preserve">mpetência privativa do Chefe do Poder Executivo. Segundo a doutrina pátria e a jurisprudência consolidada pelo </w:t>
      </w:r>
      <w:r>
        <w:rPr>
          <w:rFonts w:ascii="Arial" w:eastAsia="Arial" w:hAnsi="Arial" w:cs="Arial"/>
          <w:sz w:val="28"/>
          <w:szCs w:val="28"/>
        </w:rPr>
        <w:lastRenderedPageBreak/>
        <w:t>Supremo Tribunal Federal, leis que versem sobre a organização administrativa e o regime jurídico de servidores públicos são de iniciativa reserva</w:t>
      </w:r>
      <w:r>
        <w:rPr>
          <w:rFonts w:ascii="Arial" w:eastAsia="Arial" w:hAnsi="Arial" w:cs="Arial"/>
          <w:sz w:val="28"/>
          <w:szCs w:val="28"/>
        </w:rPr>
        <w:t xml:space="preserve">da ao Prefeito, conforme a simetria com o Art. 61, § 1º, II, da Constituição Federal. Ao ditar como e onde as escalas devem ser afixadas, o Legislativo substitui o juízo de conveniência e oportunidade do administrador, violando o princípio da separação de </w:t>
      </w:r>
      <w:r>
        <w:rPr>
          <w:rFonts w:ascii="Arial" w:eastAsia="Arial" w:hAnsi="Arial" w:cs="Arial"/>
          <w:sz w:val="28"/>
          <w:szCs w:val="28"/>
        </w:rPr>
        <w:t>poderes.</w:t>
      </w:r>
    </w:p>
    <w:p w:rsidR="001936AF" w:rsidRDefault="007D39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Ademais, o projeto padece de vício de inconstitucionalidade por reserva de iniciativa ao interferir na gestão interna de uma fundação pública municipal. A definição de atribuições para órgãos da administração direta e indireta é matéria de cunho e</w:t>
      </w:r>
      <w:r>
        <w:rPr>
          <w:rFonts w:ascii="Arial" w:eastAsia="Arial" w:hAnsi="Arial" w:cs="Arial"/>
          <w:sz w:val="28"/>
          <w:szCs w:val="28"/>
        </w:rPr>
        <w:t>minentemente administrativo e gerencial. Ao estabelecer comandos específicos de conduta para diretores e funcionários técnicos de saúde, a proposição extrapola a função legislativa de editar normas gerais e abstratas, ingressando no campo do ato de gestão,</w:t>
      </w:r>
      <w:r>
        <w:rPr>
          <w:rFonts w:ascii="Arial" w:eastAsia="Arial" w:hAnsi="Arial" w:cs="Arial"/>
          <w:sz w:val="28"/>
          <w:szCs w:val="28"/>
        </w:rPr>
        <w:t xml:space="preserve"> o que é vedado ao parlamento.</w:t>
      </w:r>
    </w:p>
    <w:p w:rsidR="001936AF" w:rsidRDefault="007D39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Sob o aspecto financeiro e orçamentário, a medida proposta gera despesas automáticas para a administração pública sem a devida indicação da fonte de custeio ou impacto financeiro. A </w:t>
      </w:r>
      <w:proofErr w:type="gramStart"/>
      <w:r>
        <w:rPr>
          <w:rFonts w:ascii="Arial" w:eastAsia="Arial" w:hAnsi="Arial" w:cs="Arial"/>
          <w:sz w:val="28"/>
          <w:szCs w:val="28"/>
        </w:rPr>
        <w:t>implementação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de murais, impressões constan</w:t>
      </w:r>
      <w:r>
        <w:rPr>
          <w:rFonts w:ascii="Arial" w:eastAsia="Arial" w:hAnsi="Arial" w:cs="Arial"/>
          <w:sz w:val="28"/>
          <w:szCs w:val="28"/>
        </w:rPr>
        <w:t xml:space="preserve">tes de escalas em papel A4 e, especialmente, a manutenção de sistemas de divulgação online demandam recursos humanos e materiais. Tal cenário exige o estrito cumprimento dos requisitos da Lei de Responsabilidade Fiscal (LC nº 101/2000), especificamente os </w:t>
      </w:r>
      <w:r>
        <w:rPr>
          <w:rFonts w:ascii="Arial" w:eastAsia="Arial" w:hAnsi="Arial" w:cs="Arial"/>
          <w:sz w:val="28"/>
          <w:szCs w:val="28"/>
        </w:rPr>
        <w:t>artigos 16 e 17, que condicionam a criação de despesa pública à demonstração de sua compatibilidade com as metas fiscais e o orçamento anual, ausentes na justificativa do projeto.</w:t>
      </w:r>
    </w:p>
    <w:p w:rsidR="001936AF" w:rsidRDefault="007D39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Portanto, apesar do mérito cívico de promover a transparência, o projeto apr</w:t>
      </w:r>
      <w:r>
        <w:rPr>
          <w:rFonts w:ascii="Arial" w:eastAsia="Arial" w:hAnsi="Arial" w:cs="Arial"/>
          <w:sz w:val="28"/>
          <w:szCs w:val="28"/>
        </w:rPr>
        <w:t xml:space="preserve">esenta vício formal de iniciativa e usurpa competências do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Executivo, o que o torna juridicamente inviável nos moldes apresentados. A imposição de obrigações administrativas ao Poder Executivo por meio de lei de origem parlamentar afronta a harmonia entre </w:t>
      </w:r>
      <w:r>
        <w:rPr>
          <w:rFonts w:ascii="Arial" w:eastAsia="Arial" w:hAnsi="Arial" w:cs="Arial"/>
          <w:sz w:val="28"/>
          <w:szCs w:val="28"/>
        </w:rPr>
        <w:t>os poderes e a autonomia gerencial da prefeitura e de suas fundações</w:t>
      </w:r>
    </w:p>
    <w:p w:rsidR="001936AF" w:rsidRDefault="007D3940">
      <w:pPr>
        <w:pStyle w:val="normal0"/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Não obstante, caso a proposição prossiga, registramos que a eventual deliberação pelo plenário da nobre Casa Legislativa deve ser precedida da manifestação das seguintes comissões permane</w:t>
      </w:r>
      <w:r>
        <w:rPr>
          <w:rFonts w:ascii="Arial" w:eastAsia="Arial" w:hAnsi="Arial" w:cs="Arial"/>
          <w:sz w:val="28"/>
          <w:szCs w:val="28"/>
        </w:rPr>
        <w:t xml:space="preserve">ntes: </w:t>
      </w:r>
    </w:p>
    <w:p w:rsidR="001936AF" w:rsidRDefault="007D3940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</w:r>
      <w:r w:rsidRPr="001940DA">
        <w:rPr>
          <w:rFonts w:ascii="Arial" w:eastAsia="Arial" w:hAnsi="Arial" w:cs="Arial"/>
          <w:b/>
          <w:sz w:val="28"/>
          <w:szCs w:val="28"/>
        </w:rPr>
        <w:t xml:space="preserve">LEGISLAÇÃO E JUSTIÇA, </w:t>
      </w:r>
      <w:r>
        <w:rPr>
          <w:rFonts w:ascii="Arial" w:eastAsia="Arial" w:hAnsi="Arial" w:cs="Arial"/>
          <w:sz w:val="28"/>
          <w:szCs w:val="28"/>
        </w:rPr>
        <w:t>por ser condição de tramitação do processo legislativo para todas as proposições em geral:</w:t>
      </w:r>
    </w:p>
    <w:p w:rsidR="001936AF" w:rsidRDefault="001936AF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</w:t>
      </w:r>
      <w:r>
        <w:rPr>
          <w:rFonts w:ascii="Arial" w:eastAsia="Arial" w:hAnsi="Arial" w:cs="Arial"/>
          <w:sz w:val="28"/>
          <w:szCs w:val="28"/>
        </w:rPr>
        <w:t>ulo o texto das proposições.</w:t>
      </w:r>
    </w:p>
    <w:p w:rsidR="001936AF" w:rsidRDefault="007D3940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1936AF" w:rsidRDefault="001936AF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 w:rsidRPr="001940DA">
        <w:rPr>
          <w:rFonts w:ascii="Arial" w:eastAsia="Arial" w:hAnsi="Arial" w:cs="Arial"/>
          <w:b/>
          <w:sz w:val="28"/>
          <w:szCs w:val="28"/>
        </w:rPr>
        <w:t>SAÚDE E AÇÃO SOCIAL</w:t>
      </w:r>
      <w:r w:rsidRPr="001940DA">
        <w:rPr>
          <w:rFonts w:ascii="Arial" w:eastAsia="Arial" w:hAnsi="Arial" w:cs="Arial"/>
          <w:b/>
          <w:sz w:val="28"/>
          <w:szCs w:val="28"/>
        </w:rPr>
        <w:t xml:space="preserve"> E MEIO AMBIENTE</w:t>
      </w:r>
      <w:r>
        <w:rPr>
          <w:rFonts w:ascii="Arial" w:eastAsia="Arial" w:hAnsi="Arial" w:cs="Arial"/>
          <w:sz w:val="28"/>
          <w:szCs w:val="28"/>
        </w:rPr>
        <w:t>, por competência específica, eis que a proposição envolve a atuação do Poder Público nesta área:</w:t>
      </w:r>
    </w:p>
    <w:p w:rsidR="001936AF" w:rsidRDefault="007D3940">
      <w:pPr>
        <w:pStyle w:val="normal0"/>
        <w:spacing w:line="276" w:lineRule="auto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</w:t>
      </w:r>
      <w:proofErr w:type="gramStart"/>
      <w:r>
        <w:rPr>
          <w:rFonts w:ascii="Arial" w:eastAsia="Arial" w:hAnsi="Arial" w:cs="Arial"/>
          <w:sz w:val="28"/>
          <w:szCs w:val="28"/>
        </w:rPr>
        <w:t>Educação 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Saúde e Ação Social e Meio Ambiente são atribuídos às Comissões relacionadas neste Artigo: § 2º- À </w:t>
      </w:r>
      <w:r>
        <w:rPr>
          <w:rFonts w:ascii="Arial" w:eastAsia="Arial" w:hAnsi="Arial" w:cs="Arial"/>
          <w:sz w:val="28"/>
          <w:szCs w:val="28"/>
        </w:rPr>
        <w:t xml:space="preserve">Comissão de Saúde, Ação Social e Meio Ambiente compete manifestar-se em todos os projetos e matérias que versem sobre  desportos e assuntos relacionados com saúde, saneamento, cultura, meio ambiente, criança, adolescente, idoso e assistência e Previdência </w:t>
      </w:r>
      <w:r>
        <w:rPr>
          <w:rFonts w:ascii="Arial" w:eastAsia="Arial" w:hAnsi="Arial" w:cs="Arial"/>
          <w:sz w:val="28"/>
          <w:szCs w:val="28"/>
        </w:rPr>
        <w:t xml:space="preserve">social </w:t>
      </w:r>
      <w:r>
        <w:rPr>
          <w:rFonts w:ascii="Arial" w:eastAsia="Arial" w:hAnsi="Arial" w:cs="Arial"/>
          <w:sz w:val="28"/>
          <w:szCs w:val="28"/>
        </w:rPr>
        <w:lastRenderedPageBreak/>
        <w:t>em geral. (Modificado pela Resolução Plenária nº 404, de 14 de março de 2006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)</w:t>
      </w:r>
      <w:proofErr w:type="gramEnd"/>
    </w:p>
    <w:p w:rsidR="001936AF" w:rsidRDefault="001936AF" w:rsidP="001940DA">
      <w:pPr>
        <w:pStyle w:val="normal0"/>
        <w:spacing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1936AF" w:rsidRDefault="007D3940" w:rsidP="001940DA">
      <w:pPr>
        <w:pStyle w:val="normal0"/>
        <w:spacing w:line="36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CONSIDERAÇÕES FINAIS</w:t>
      </w:r>
    </w:p>
    <w:p w:rsidR="001936AF" w:rsidRDefault="001936AF">
      <w:pPr>
        <w:pStyle w:val="normal0"/>
        <w:rPr>
          <w:rFonts w:ascii="Arial" w:eastAsia="Arial" w:hAnsi="Arial" w:cs="Arial"/>
          <w:sz w:val="28"/>
          <w:szCs w:val="28"/>
        </w:rPr>
      </w:pPr>
    </w:p>
    <w:p w:rsidR="001940DA" w:rsidRDefault="007D3940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bCs/>
          <w:sz w:val="28"/>
          <w:szCs w:val="28"/>
        </w:rPr>
        <w:t>inviabilidade de trami</w:t>
      </w:r>
      <w:r>
        <w:rPr>
          <w:rFonts w:ascii="Arial" w:eastAsia="Arial" w:hAnsi="Arial" w:cs="Arial"/>
          <w:b/>
          <w:bCs/>
          <w:sz w:val="28"/>
          <w:szCs w:val="28"/>
        </w:rPr>
        <w:t>tação</w:t>
      </w:r>
      <w:r>
        <w:rPr>
          <w:rFonts w:ascii="Arial" w:eastAsia="Arial" w:hAnsi="Arial" w:cs="Arial"/>
          <w:sz w:val="28"/>
          <w:szCs w:val="28"/>
        </w:rPr>
        <w:t>, eis que a matéria legislada refoge ao alcance do Poder de Iniciativa Parlamentar, determinando a prática de atos administrativos. Como de costume, registr</w:t>
      </w:r>
      <w:r w:rsidR="001940DA"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 xml:space="preserve"> que o presente parecer tem natureza opinativa e não vincula a decisão das comissões. </w:t>
      </w:r>
    </w:p>
    <w:p w:rsidR="001936AF" w:rsidRDefault="001940DA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Encaminho</w:t>
      </w:r>
      <w:r w:rsidR="007D3940">
        <w:rPr>
          <w:rFonts w:ascii="Arial" w:eastAsia="Arial" w:hAnsi="Arial" w:cs="Arial"/>
          <w:sz w:val="28"/>
          <w:szCs w:val="28"/>
        </w:rPr>
        <w:t xml:space="preserve"> os autos à </w:t>
      </w:r>
      <w:r>
        <w:rPr>
          <w:rFonts w:ascii="Arial" w:eastAsia="Arial" w:hAnsi="Arial" w:cs="Arial"/>
          <w:sz w:val="28"/>
          <w:szCs w:val="28"/>
        </w:rPr>
        <w:t>Diretoria de Processo Legislativo</w:t>
      </w:r>
      <w:r w:rsidR="007D3940">
        <w:rPr>
          <w:rFonts w:ascii="Arial" w:eastAsia="Arial" w:hAnsi="Arial" w:cs="Arial"/>
          <w:sz w:val="28"/>
          <w:szCs w:val="28"/>
        </w:rPr>
        <w:t xml:space="preserve"> para as devidas diligências.</w:t>
      </w:r>
    </w:p>
    <w:p w:rsidR="001936AF" w:rsidRDefault="001936A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936AF" w:rsidRDefault="001940DA">
      <w:pPr>
        <w:pStyle w:val="normal0"/>
        <w:spacing w:line="360" w:lineRule="auto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18</w:t>
      </w:r>
      <w:r w:rsidR="007D3940">
        <w:rPr>
          <w:rFonts w:ascii="Arial" w:eastAsia="Arial" w:hAnsi="Arial" w:cs="Arial"/>
          <w:sz w:val="28"/>
          <w:szCs w:val="28"/>
        </w:rPr>
        <w:t xml:space="preserve"> de fevereiro de 2026</w:t>
      </w:r>
      <w:r>
        <w:rPr>
          <w:rFonts w:ascii="Arial" w:eastAsia="Arial" w:hAnsi="Arial" w:cs="Arial"/>
          <w:sz w:val="28"/>
          <w:szCs w:val="28"/>
        </w:rPr>
        <w:t>.</w:t>
      </w:r>
    </w:p>
    <w:p w:rsidR="001936AF" w:rsidRDefault="001936AF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1936AF" w:rsidRDefault="007D3940">
      <w:pPr>
        <w:pStyle w:val="normal0"/>
        <w:jc w:val="righ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João Roberto da Fonseca Junior</w:t>
      </w:r>
    </w:p>
    <w:p w:rsidR="001936AF" w:rsidRDefault="007D3940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1936AF" w:rsidRDefault="007D3940">
      <w:pPr>
        <w:pStyle w:val="normal0"/>
        <w:jc w:val="righ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1936AF" w:rsidSect="001936AF">
      <w:headerReference w:type="default" r:id="rId6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940" w:rsidRDefault="007D3940" w:rsidP="001936AF">
      <w:r>
        <w:separator/>
      </w:r>
    </w:p>
  </w:endnote>
  <w:endnote w:type="continuationSeparator" w:id="0">
    <w:p w:rsidR="007D3940" w:rsidRDefault="007D3940" w:rsidP="00193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E07E7B7-E755-44AF-B1AA-9A0E8FAABEB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D961B75-084D-462C-A294-A1E99D4C5DA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7493100-978D-4A48-A129-997708169E4D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940" w:rsidRDefault="007D3940" w:rsidP="001936AF">
      <w:r>
        <w:separator/>
      </w:r>
    </w:p>
  </w:footnote>
  <w:footnote w:type="continuationSeparator" w:id="0">
    <w:p w:rsidR="007D3940" w:rsidRDefault="007D3940" w:rsidP="001936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6AF" w:rsidRDefault="007D3940">
    <w:pPr>
      <w:pStyle w:val="Ttulo1"/>
      <w:ind w:left="708"/>
      <w:jc w:val="center"/>
    </w:pPr>
    <w:r>
      <w:rPr>
        <w:rFonts w:ascii="Arial" w:eastAsia="Arial" w:hAnsi="Arial" w:cs="Arial"/>
        <w:b/>
        <w:bCs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333333"/>
        <w:sz w:val="28"/>
        <w:szCs w:val="28"/>
      </w:rPr>
      <w:t>CÂMARA DE VEREADORES DE SAPUCAIA DO SUL</w:t>
    </w:r>
  </w:p>
  <w:p w:rsidR="001936AF" w:rsidRDefault="007D39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1936AF" w:rsidRDefault="007D39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1936AF" w:rsidRDefault="001936AF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6AF"/>
    <w:rsid w:val="001936AF"/>
    <w:rsid w:val="001940DA"/>
    <w:rsid w:val="007D3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1936AF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1936AF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0"/>
    <w:next w:val="normal0"/>
    <w:rsid w:val="001936AF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0"/>
    <w:next w:val="normal0"/>
    <w:rsid w:val="001936AF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0"/>
    <w:next w:val="normal0"/>
    <w:rsid w:val="001936AF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0"/>
    <w:next w:val="normal0"/>
    <w:rsid w:val="001936AF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1936A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1936AF"/>
  </w:style>
  <w:style w:type="paragraph" w:styleId="Ttulo">
    <w:name w:val="Title"/>
    <w:basedOn w:val="normal0"/>
    <w:next w:val="normal0"/>
    <w:rsid w:val="001936AF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0"/>
    <w:next w:val="normal0"/>
    <w:rsid w:val="001936AF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876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2026-02-18T17:39:00Z</dcterms:created>
  <dcterms:modified xsi:type="dcterms:W3CDTF">2026-02-18T17:39:00Z</dcterms:modified>
</cp:coreProperties>
</file>