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AF" w:rsidRDefault="00AE5F27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PLL 041</w:t>
      </w:r>
      <w:r w:rsidR="007D3940">
        <w:rPr>
          <w:rFonts w:ascii="Arial" w:eastAsia="Arial" w:hAnsi="Arial" w:cs="Arial"/>
          <w:b/>
          <w:bCs/>
          <w:sz w:val="32"/>
          <w:szCs w:val="32"/>
        </w:rPr>
        <w:t>/2025</w:t>
      </w:r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Nº do Processo: 28</w:t>
      </w:r>
      <w:r w:rsidR="00AE5F27">
        <w:rPr>
          <w:rFonts w:ascii="Arial" w:eastAsia="Arial" w:hAnsi="Arial" w:cs="Arial"/>
          <w:b/>
          <w:bCs/>
          <w:sz w:val="32"/>
          <w:szCs w:val="32"/>
        </w:rPr>
        <w:t>890</w:t>
      </w:r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 xml:space="preserve">Requerente: Ver. Ricardo </w:t>
      </w:r>
      <w:proofErr w:type="spellStart"/>
      <w:r>
        <w:rPr>
          <w:rFonts w:ascii="Arial" w:eastAsia="Arial" w:hAnsi="Arial" w:cs="Arial"/>
          <w:b/>
          <w:bCs/>
          <w:sz w:val="32"/>
          <w:szCs w:val="32"/>
        </w:rPr>
        <w:t>Vallim</w:t>
      </w:r>
      <w:proofErr w:type="spellEnd"/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Tipo de Proposição: Projeto de Lei do Legislativo (PLL)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RELATÓRIO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40DA" w:rsidRDefault="007D3940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</w:t>
      </w:r>
      <w:r w:rsidR="00AE5F27" w:rsidRPr="00AE5F27">
        <w:rPr>
          <w:rFonts w:ascii="Arial" w:eastAsia="Arial" w:hAnsi="Arial" w:cs="Arial"/>
          <w:sz w:val="28"/>
          <w:szCs w:val="28"/>
        </w:rPr>
        <w:t xml:space="preserve">Dispõe sobre o </w:t>
      </w:r>
      <w:r w:rsidR="00AE5F27" w:rsidRPr="00AE5F27">
        <w:rPr>
          <w:rFonts w:ascii="Arial" w:eastAsia="Arial" w:hAnsi="Arial" w:cs="Arial"/>
          <w:b/>
          <w:i/>
          <w:sz w:val="28"/>
          <w:szCs w:val="28"/>
        </w:rPr>
        <w:t>“Programa Banco Solidário de Cadeira de Rodas e demais materiais ortopédicos”, no município de Sapucaia do Sul, e dá outras providências”</w:t>
      </w:r>
      <w:r w:rsidR="006E7A8F">
        <w:rPr>
          <w:rFonts w:ascii="Arial" w:eastAsia="Arial" w:hAnsi="Arial" w:cs="Arial"/>
          <w:b/>
          <w:i/>
          <w:sz w:val="28"/>
          <w:szCs w:val="28"/>
        </w:rPr>
        <w:t>.</w:t>
      </w:r>
    </w:p>
    <w:p w:rsidR="00AE5F27" w:rsidRDefault="00AE5F27">
      <w:pPr>
        <w:pStyle w:val="normal0"/>
        <w:jc w:val="both"/>
        <w:rPr>
          <w:rFonts w:ascii="Arial" w:eastAsia="Arial" w:hAnsi="Arial" w:cs="Arial"/>
          <w:b/>
          <w:sz w:val="28"/>
          <w:szCs w:val="28"/>
        </w:rPr>
      </w:pPr>
    </w:p>
    <w:p w:rsidR="001936AF" w:rsidRDefault="007D3940" w:rsidP="001940DA">
      <w:pPr>
        <w:pStyle w:val="normal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 dos autos eletrônico</w:t>
      </w:r>
      <w:r w:rsidR="00AE5F27">
        <w:rPr>
          <w:rFonts w:ascii="Arial" w:eastAsia="Arial" w:hAnsi="Arial" w:cs="Arial"/>
          <w:sz w:val="28"/>
          <w:szCs w:val="28"/>
        </w:rPr>
        <w:t>s o seguinte documento: ID 95838</w:t>
      </w:r>
      <w:r>
        <w:rPr>
          <w:rFonts w:ascii="Arial" w:eastAsia="Arial" w:hAnsi="Arial" w:cs="Arial"/>
          <w:sz w:val="28"/>
          <w:szCs w:val="28"/>
        </w:rPr>
        <w:t xml:space="preserve"> (página única).</w:t>
      </w:r>
    </w:p>
    <w:p w:rsidR="001936AF" w:rsidRDefault="001936AF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PARECER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36AF" w:rsidRDefault="007D3940" w:rsidP="00AE5F27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 w:rsidR="006E7A8F">
        <w:rPr>
          <w:rFonts w:ascii="Arial" w:eastAsia="Arial" w:hAnsi="Arial" w:cs="Arial"/>
          <w:sz w:val="28"/>
          <w:szCs w:val="28"/>
        </w:rPr>
        <w:t xml:space="preserve">No que tange </w:t>
      </w:r>
      <w:r>
        <w:rPr>
          <w:rFonts w:ascii="Arial" w:eastAsia="Arial" w:hAnsi="Arial" w:cs="Arial"/>
          <w:sz w:val="28"/>
          <w:szCs w:val="28"/>
        </w:rPr>
        <w:t xml:space="preserve">à proposição em comento, verifica-se que a proposição contém óbices constitucionais e legais intransponíveis que comprometem sua validade jurídica sob a ótica da iniciativa parlamentar. </w:t>
      </w:r>
    </w:p>
    <w:p w:rsidR="00AE5F27" w:rsidRPr="006E7A8F" w:rsidRDefault="007D3940" w:rsidP="006E7A8F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Ademais, o projeto padece de vício de inconstitucionalidade por reserva de iniciativa ao interferir na gestão interna d</w:t>
      </w:r>
      <w:r w:rsidR="00AE5F27"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AE5F27">
        <w:rPr>
          <w:rFonts w:ascii="Arial" w:eastAsia="Arial" w:hAnsi="Arial" w:cs="Arial"/>
          <w:sz w:val="28"/>
          <w:szCs w:val="28"/>
        </w:rPr>
        <w:t xml:space="preserve">Secretaria </w:t>
      </w:r>
      <w:r w:rsidR="00AE5F27" w:rsidRPr="006E7A8F">
        <w:rPr>
          <w:rFonts w:ascii="Arial" w:eastAsia="Arial" w:hAnsi="Arial" w:cs="Arial"/>
          <w:sz w:val="28"/>
          <w:szCs w:val="28"/>
        </w:rPr>
        <w:t>Municipal de Saúde.</w:t>
      </w:r>
      <w:r w:rsidRPr="006E7A8F">
        <w:rPr>
          <w:rFonts w:ascii="Arial" w:eastAsia="Arial" w:hAnsi="Arial" w:cs="Arial"/>
          <w:sz w:val="28"/>
          <w:szCs w:val="28"/>
        </w:rPr>
        <w:t xml:space="preserve"> </w:t>
      </w:r>
    </w:p>
    <w:p w:rsidR="00AE5F27" w:rsidRPr="006E7A8F" w:rsidRDefault="00AE5F27" w:rsidP="006E7A8F">
      <w:pPr>
        <w:pStyle w:val="Ttulo4"/>
        <w:jc w:val="center"/>
        <w:rPr>
          <w:rFonts w:ascii="Arial" w:hAnsi="Arial" w:cs="Arial"/>
          <w:sz w:val="28"/>
          <w:szCs w:val="28"/>
          <w:u w:val="single"/>
        </w:rPr>
      </w:pPr>
      <w:r w:rsidRPr="006E7A8F">
        <w:rPr>
          <w:rFonts w:ascii="Arial" w:hAnsi="Arial" w:cs="Arial"/>
          <w:sz w:val="28"/>
          <w:szCs w:val="28"/>
          <w:u w:val="single"/>
        </w:rPr>
        <w:t>Vício de Iniciativa e Usurpação de Competência (Inconstitucionalidade Formal)</w:t>
      </w:r>
    </w:p>
    <w:p w:rsidR="006E7A8F" w:rsidRDefault="006E7A8F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</w:p>
    <w:p w:rsidR="00AE5F27" w:rsidRPr="006E7A8F" w:rsidRDefault="00AE5F27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O principal óbice à tramitação reside no Art. </w:t>
      </w:r>
      <w:r w:rsidRPr="006E7A8F">
        <w:rPr>
          <w:rStyle w:val="citation-114"/>
          <w:rFonts w:ascii="Arial" w:hAnsi="Arial" w:cs="Arial"/>
          <w:sz w:val="28"/>
          <w:szCs w:val="28"/>
        </w:rPr>
        <w:t xml:space="preserve">3º do projeto, que impõe obrigações diretas à </w:t>
      </w:r>
      <w:r w:rsidRPr="006E7A8F">
        <w:rPr>
          <w:rStyle w:val="citation-114"/>
          <w:rFonts w:ascii="Arial" w:hAnsi="Arial" w:cs="Arial"/>
          <w:b/>
          <w:bCs/>
          <w:sz w:val="28"/>
          <w:szCs w:val="28"/>
        </w:rPr>
        <w:t>Secretaria de Saúde</w:t>
      </w:r>
      <w:r w:rsidRPr="006E7A8F">
        <w:rPr>
          <w:rStyle w:val="citation-114"/>
          <w:rFonts w:ascii="Arial" w:hAnsi="Arial" w:cs="Arial"/>
          <w:sz w:val="28"/>
          <w:szCs w:val="28"/>
        </w:rPr>
        <w:t xml:space="preserve"> e prevê a criação de um </w:t>
      </w:r>
      <w:r w:rsidRPr="006E7A8F">
        <w:rPr>
          <w:rStyle w:val="citation-114"/>
          <w:rFonts w:ascii="Arial" w:hAnsi="Arial" w:cs="Arial"/>
          <w:b/>
          <w:bCs/>
          <w:sz w:val="28"/>
          <w:szCs w:val="28"/>
        </w:rPr>
        <w:t>Fundo Social de Solidariedade</w:t>
      </w:r>
      <w:r w:rsidRPr="006E7A8F">
        <w:rPr>
          <w:rFonts w:ascii="Arial" w:hAnsi="Arial" w:cs="Arial"/>
          <w:sz w:val="28"/>
          <w:szCs w:val="28"/>
        </w:rPr>
        <w:t>.</w:t>
      </w:r>
    </w:p>
    <w:p w:rsidR="00AE5F27" w:rsidRDefault="00AE5F27" w:rsidP="006E7A8F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De acordo com o princípio da simetria constitucional (Art. 61, § 1º, II, "b" da CF/88), leis que disponham sobre a organização administrativa, atribuições de Secretarias e órgãos da </w:t>
      </w:r>
      <w:r w:rsidRPr="006E7A8F">
        <w:rPr>
          <w:rFonts w:ascii="Arial" w:hAnsi="Arial" w:cs="Arial"/>
          <w:sz w:val="28"/>
          <w:szCs w:val="28"/>
        </w:rPr>
        <w:lastRenderedPageBreak/>
        <w:t xml:space="preserve">administração pública são de </w:t>
      </w:r>
      <w:r w:rsidRPr="006E7A8F">
        <w:rPr>
          <w:rFonts w:ascii="Arial" w:hAnsi="Arial" w:cs="Arial"/>
          <w:b/>
          <w:bCs/>
          <w:sz w:val="28"/>
          <w:szCs w:val="28"/>
        </w:rPr>
        <w:t>iniciativa privativa do Chefe do Poder Executivo</w:t>
      </w:r>
      <w:r w:rsidRPr="006E7A8F">
        <w:rPr>
          <w:rFonts w:ascii="Arial" w:hAnsi="Arial" w:cs="Arial"/>
          <w:sz w:val="28"/>
          <w:szCs w:val="28"/>
        </w:rPr>
        <w:t>.</w:t>
      </w:r>
    </w:p>
    <w:p w:rsidR="00AE5F27" w:rsidRPr="006E7A8F" w:rsidRDefault="00AE5F27" w:rsidP="006E7A8F">
      <w:pPr>
        <w:pStyle w:val="NormalWeb"/>
        <w:numPr>
          <w:ilvl w:val="0"/>
          <w:numId w:val="1"/>
        </w:numPr>
        <w:jc w:val="both"/>
        <w:rPr>
          <w:rFonts w:ascii="Arial" w:hAnsi="Arial" w:cs="Arial"/>
          <w:b/>
          <w:sz w:val="28"/>
          <w:szCs w:val="28"/>
        </w:rPr>
      </w:pPr>
      <w:r w:rsidRPr="006E7A8F">
        <w:rPr>
          <w:rStyle w:val="citation-113"/>
          <w:rFonts w:ascii="Arial" w:hAnsi="Arial" w:cs="Arial"/>
          <w:b/>
          <w:sz w:val="28"/>
          <w:szCs w:val="28"/>
        </w:rPr>
        <w:t>O Legislativo não pode, por iniciativa própria, criar tarefas, responsabilidades ou gerir o fluxo de trabalho de pastas municipais (como o setor de almoxarifado citado no projeto)</w:t>
      </w:r>
      <w:r w:rsidRPr="006E7A8F">
        <w:rPr>
          <w:rFonts w:ascii="Arial" w:hAnsi="Arial" w:cs="Arial"/>
          <w:b/>
          <w:sz w:val="28"/>
          <w:szCs w:val="28"/>
        </w:rPr>
        <w:t>.</w:t>
      </w:r>
    </w:p>
    <w:p w:rsidR="00AE5F27" w:rsidRPr="006E7A8F" w:rsidRDefault="00AE5F27" w:rsidP="006E7A8F">
      <w:pPr>
        <w:pStyle w:val="Ttulo4"/>
        <w:jc w:val="center"/>
        <w:rPr>
          <w:rFonts w:ascii="Arial" w:hAnsi="Arial" w:cs="Arial"/>
          <w:sz w:val="28"/>
          <w:szCs w:val="28"/>
          <w:u w:val="single"/>
        </w:rPr>
      </w:pPr>
      <w:r w:rsidRPr="006E7A8F">
        <w:rPr>
          <w:rFonts w:ascii="Arial" w:hAnsi="Arial" w:cs="Arial"/>
          <w:sz w:val="28"/>
          <w:szCs w:val="28"/>
          <w:u w:val="single"/>
        </w:rPr>
        <w:t>Violação ao Princípio da Separação de Poderes</w:t>
      </w:r>
    </w:p>
    <w:p w:rsidR="006E7A8F" w:rsidRDefault="006E7A8F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Style w:val="citation-112"/>
          <w:rFonts w:ascii="Arial" w:hAnsi="Arial" w:cs="Arial"/>
          <w:sz w:val="28"/>
          <w:szCs w:val="28"/>
        </w:rPr>
      </w:pPr>
    </w:p>
    <w:p w:rsidR="00AE5F27" w:rsidRPr="006E7A8F" w:rsidRDefault="00AE5F27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Style w:val="citation-112"/>
          <w:rFonts w:ascii="Arial" w:hAnsi="Arial" w:cs="Arial"/>
          <w:sz w:val="28"/>
          <w:szCs w:val="28"/>
        </w:rPr>
        <w:t xml:space="preserve">O projeto infringe a harmonia entre os poderes ao ingressar na esfera de </w:t>
      </w:r>
      <w:r w:rsidRPr="006E7A8F">
        <w:rPr>
          <w:rStyle w:val="citation-112"/>
          <w:rFonts w:ascii="Arial" w:hAnsi="Arial" w:cs="Arial"/>
          <w:b/>
          <w:bCs/>
          <w:sz w:val="28"/>
          <w:szCs w:val="28"/>
        </w:rPr>
        <w:t>atos de gestão</w:t>
      </w:r>
      <w:r w:rsidRPr="006E7A8F">
        <w:rPr>
          <w:rFonts w:ascii="Arial" w:hAnsi="Arial" w:cs="Arial"/>
          <w:sz w:val="28"/>
          <w:szCs w:val="28"/>
        </w:rPr>
        <w:t>.</w:t>
      </w:r>
    </w:p>
    <w:p w:rsidR="00AE5F27" w:rsidRPr="006E7A8F" w:rsidRDefault="00AE5F27" w:rsidP="006E7A8F">
      <w:pPr>
        <w:pStyle w:val="NormalWeb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6E7A8F">
        <w:rPr>
          <w:rStyle w:val="citation-111"/>
          <w:rFonts w:ascii="Arial" w:hAnsi="Arial" w:cs="Arial"/>
          <w:sz w:val="28"/>
          <w:szCs w:val="28"/>
        </w:rPr>
        <w:t>A determinação de como o Executivo deve receber, armazenar, cadastrar e distribuir materiais caracteriza interferência direta no poder regulamentar e administrativo do Prefeito</w:t>
      </w:r>
      <w:r w:rsidRPr="006E7A8F">
        <w:rPr>
          <w:rFonts w:ascii="Arial" w:hAnsi="Arial" w:cs="Arial"/>
          <w:sz w:val="28"/>
          <w:szCs w:val="28"/>
        </w:rPr>
        <w:t>.</w:t>
      </w:r>
    </w:p>
    <w:p w:rsidR="00AE5F27" w:rsidRPr="006E7A8F" w:rsidRDefault="00AE5F27" w:rsidP="006E7A8F">
      <w:pPr>
        <w:pStyle w:val="NormalWeb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Conforme jurisprudência consolidada do </w:t>
      </w:r>
      <w:r w:rsidRPr="006E7A8F">
        <w:rPr>
          <w:rFonts w:ascii="Arial" w:hAnsi="Arial" w:cs="Arial"/>
          <w:b/>
          <w:bCs/>
          <w:sz w:val="28"/>
          <w:szCs w:val="28"/>
        </w:rPr>
        <w:t>Tribunal de Justiça do RS (TJ-RS)</w:t>
      </w:r>
      <w:r w:rsidRPr="006E7A8F">
        <w:rPr>
          <w:rFonts w:ascii="Arial" w:hAnsi="Arial" w:cs="Arial"/>
          <w:sz w:val="28"/>
          <w:szCs w:val="28"/>
        </w:rPr>
        <w:t>, leis de iniciativa parlamentar que criam programas que demandam atividade administrativa concreta do Executivo são consideradas inconstitucionais por vício de iniciativa.</w:t>
      </w:r>
    </w:p>
    <w:p w:rsidR="001936AF" w:rsidRDefault="007D3940" w:rsidP="006E7A8F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 w:rsidRPr="006E7A8F">
        <w:rPr>
          <w:rFonts w:ascii="Arial" w:eastAsia="Arial" w:hAnsi="Arial" w:cs="Arial"/>
          <w:sz w:val="28"/>
          <w:szCs w:val="28"/>
        </w:rPr>
        <w:t>A definição de atribuições para órgãos da administração direta e indireta é matéria de cunho eminentemente administrativo e gerencial. Ao estabelecer comandos específicos de conduta para diretores e funcionários técnicos de saúde</w:t>
      </w:r>
      <w:r>
        <w:rPr>
          <w:rFonts w:ascii="Arial" w:eastAsia="Arial" w:hAnsi="Arial" w:cs="Arial"/>
          <w:sz w:val="28"/>
          <w:szCs w:val="28"/>
        </w:rPr>
        <w:t>, a proposição extrapola a função legislativa de editar normas gerais e abstratas, ingressando no campo do ato de gestão, o que é vedado ao parlamento.</w:t>
      </w:r>
    </w:p>
    <w:p w:rsidR="006E7A8F" w:rsidRDefault="007D39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Sob o aspecto financeiro e orçamentário, a medida proposta gera despesas automáticas para a administração pública sem a devida indicação da fonte de custeio ou impacto financeiro. </w:t>
      </w:r>
    </w:p>
    <w:p w:rsidR="006E7A8F" w:rsidRDefault="006E7A8F" w:rsidP="006E7A8F">
      <w:pPr>
        <w:pStyle w:val="Ttulo4"/>
        <w:spacing w:before="0" w:after="0" w:line="360" w:lineRule="auto"/>
        <w:jc w:val="center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>Impacto Financeiro e Orçamentário (LRF)</w:t>
      </w:r>
    </w:p>
    <w:p w:rsidR="006E7A8F" w:rsidRPr="006E7A8F" w:rsidRDefault="006E7A8F" w:rsidP="006E7A8F">
      <w:pPr>
        <w:pStyle w:val="normal0"/>
      </w:pPr>
    </w:p>
    <w:p w:rsidR="006E7A8F" w:rsidRPr="006E7A8F" w:rsidRDefault="006E7A8F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Style w:val="citation-110"/>
          <w:rFonts w:ascii="Arial" w:hAnsi="Arial" w:cs="Arial"/>
          <w:sz w:val="28"/>
          <w:szCs w:val="28"/>
        </w:rPr>
        <w:t>Embora o projeto preveja que o estoque seja formado por doações</w:t>
      </w:r>
      <w:r w:rsidRPr="006E7A8F">
        <w:rPr>
          <w:rFonts w:ascii="Arial" w:hAnsi="Arial" w:cs="Arial"/>
          <w:sz w:val="28"/>
          <w:szCs w:val="28"/>
        </w:rPr>
        <w:t>, a manutenção da estrutura necessária para o funcionamento do banco gera custos:</w:t>
      </w:r>
    </w:p>
    <w:p w:rsidR="006E7A8F" w:rsidRPr="006E7A8F" w:rsidRDefault="006E7A8F" w:rsidP="006E7A8F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Style w:val="citation-109"/>
          <w:rFonts w:ascii="Arial" w:hAnsi="Arial" w:cs="Arial"/>
          <w:b/>
          <w:bCs/>
          <w:sz w:val="28"/>
          <w:szCs w:val="28"/>
        </w:rPr>
        <w:lastRenderedPageBreak/>
        <w:t>Recursos Humanos:</w:t>
      </w:r>
      <w:r w:rsidRPr="006E7A8F">
        <w:rPr>
          <w:rStyle w:val="citation-109"/>
          <w:rFonts w:ascii="Arial" w:hAnsi="Arial" w:cs="Arial"/>
          <w:sz w:val="28"/>
          <w:szCs w:val="28"/>
        </w:rPr>
        <w:t xml:space="preserve"> O controle e a distribuição exigem servidores dedicados</w:t>
      </w:r>
      <w:r w:rsidRPr="006E7A8F">
        <w:rPr>
          <w:rFonts w:ascii="Arial" w:hAnsi="Arial" w:cs="Arial"/>
          <w:sz w:val="28"/>
          <w:szCs w:val="28"/>
        </w:rPr>
        <w:t>.</w:t>
      </w:r>
    </w:p>
    <w:p w:rsidR="006E7A8F" w:rsidRPr="006E7A8F" w:rsidRDefault="006E7A8F" w:rsidP="006E7A8F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b/>
          <w:bCs/>
          <w:sz w:val="28"/>
          <w:szCs w:val="28"/>
        </w:rPr>
        <w:t>Logística e Higienização:</w:t>
      </w:r>
      <w:r w:rsidRPr="006E7A8F">
        <w:rPr>
          <w:rFonts w:ascii="Arial" w:hAnsi="Arial" w:cs="Arial"/>
          <w:sz w:val="28"/>
          <w:szCs w:val="28"/>
        </w:rPr>
        <w:t xml:space="preserve"> Materiais ortopédicos exigem manutenção e desinfecção rigorosa para reuso, o que demanda gastos não previstos no orçamento atual.</w:t>
      </w:r>
    </w:p>
    <w:p w:rsidR="006E7A8F" w:rsidRDefault="006E7A8F" w:rsidP="006E7A8F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A ausência de estimativa de impacto orçamentário-financeiro e a criação de despesa sem indicação de receita específica violam a </w:t>
      </w:r>
      <w:r w:rsidRPr="006E7A8F">
        <w:rPr>
          <w:rFonts w:ascii="Arial" w:hAnsi="Arial" w:cs="Arial"/>
          <w:b/>
          <w:bCs/>
          <w:sz w:val="28"/>
          <w:szCs w:val="28"/>
        </w:rPr>
        <w:t>Lei de Responsabilidade Fiscal (LRF)</w:t>
      </w:r>
      <w:r w:rsidRPr="006E7A8F">
        <w:rPr>
          <w:rFonts w:ascii="Arial" w:hAnsi="Arial" w:cs="Arial"/>
          <w:sz w:val="28"/>
          <w:szCs w:val="28"/>
        </w:rPr>
        <w:t xml:space="preserve"> e as diretrizes da Lei Orgânica Municipal.</w:t>
      </w:r>
    </w:p>
    <w:p w:rsidR="006E7A8F" w:rsidRPr="006E7A8F" w:rsidRDefault="006E7A8F" w:rsidP="006E7A8F">
      <w:pPr>
        <w:pStyle w:val="NormalWeb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sz w:val="28"/>
          <w:szCs w:val="28"/>
        </w:rPr>
      </w:pPr>
    </w:p>
    <w:p w:rsidR="006E7A8F" w:rsidRPr="006E7A8F" w:rsidRDefault="006E7A8F" w:rsidP="006E7A8F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Sugere-se que a matéria seja encaminhada ao Poder Executivo sob a forma de </w:t>
      </w:r>
      <w:r w:rsidRPr="006E7A8F">
        <w:rPr>
          <w:rFonts w:ascii="Arial" w:hAnsi="Arial" w:cs="Arial"/>
          <w:b/>
          <w:bCs/>
          <w:sz w:val="28"/>
          <w:szCs w:val="28"/>
        </w:rPr>
        <w:t>Indicação</w:t>
      </w:r>
      <w:r w:rsidRPr="006E7A8F">
        <w:rPr>
          <w:rFonts w:ascii="Arial" w:hAnsi="Arial" w:cs="Arial"/>
          <w:sz w:val="28"/>
          <w:szCs w:val="28"/>
        </w:rPr>
        <w:t>, permitindo que o Prefeito, caso entenda conveniente, apresente projeto de lei de sua autoria para instituir o programa sem vícios de origem.</w:t>
      </w:r>
    </w:p>
    <w:p w:rsidR="006E7A8F" w:rsidRDefault="006E7A8F" w:rsidP="006E7A8F">
      <w:pPr>
        <w:pStyle w:val="normal0"/>
        <w:spacing w:line="360" w:lineRule="auto"/>
        <w:ind w:firstLine="697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 w:rsidP="006E7A8F">
      <w:pPr>
        <w:pStyle w:val="normal0"/>
        <w:spacing w:line="360" w:lineRule="auto"/>
        <w:ind w:firstLine="697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Não obstante, caso a proposição prossiga, registramos que a eventual deliberação pelo plenário da nobre Casa Legislativa deve ser precedida da manifestação das seguintes comissões permanentes: </w:t>
      </w:r>
    </w:p>
    <w:p w:rsidR="001936AF" w:rsidRDefault="007D3940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</w:r>
      <w:r w:rsidRPr="001940DA">
        <w:rPr>
          <w:rFonts w:ascii="Arial" w:eastAsia="Arial" w:hAnsi="Arial" w:cs="Arial"/>
          <w:b/>
          <w:sz w:val="28"/>
          <w:szCs w:val="28"/>
        </w:rPr>
        <w:t xml:space="preserve">LEGISLAÇÃO E JUSTIÇA, </w:t>
      </w:r>
      <w:r>
        <w:rPr>
          <w:rFonts w:ascii="Arial" w:eastAsia="Arial" w:hAnsi="Arial" w:cs="Arial"/>
          <w:sz w:val="28"/>
          <w:szCs w:val="28"/>
        </w:rPr>
        <w:t>por ser condição de tramitação do processo legislativo para todas as proposições em geral:</w:t>
      </w:r>
    </w:p>
    <w:p w:rsidR="001936AF" w:rsidRDefault="001936AF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1936AF" w:rsidRDefault="007D3940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1936AF" w:rsidRDefault="001936AF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 w:rsidRPr="001940DA">
        <w:rPr>
          <w:rFonts w:ascii="Arial" w:eastAsia="Arial" w:hAnsi="Arial" w:cs="Arial"/>
          <w:b/>
          <w:sz w:val="28"/>
          <w:szCs w:val="28"/>
        </w:rPr>
        <w:t>SAÚDE E AÇÃO SOCIAL E MEIO AMBIENTE</w:t>
      </w:r>
      <w:r>
        <w:rPr>
          <w:rFonts w:ascii="Arial" w:eastAsia="Arial" w:hAnsi="Arial" w:cs="Arial"/>
          <w:sz w:val="28"/>
          <w:szCs w:val="28"/>
        </w:rPr>
        <w:t>, por competência específica, eis que a proposição envolve a atuação do Poder Público nesta área:</w:t>
      </w:r>
    </w:p>
    <w:p w:rsidR="001936AF" w:rsidRDefault="007D3940">
      <w:pPr>
        <w:pStyle w:val="normal0"/>
        <w:spacing w:line="276" w:lineRule="auto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</w:t>
      </w:r>
      <w:proofErr w:type="gramStart"/>
      <w:r>
        <w:rPr>
          <w:rFonts w:ascii="Arial" w:eastAsia="Arial" w:hAnsi="Arial" w:cs="Arial"/>
          <w:sz w:val="28"/>
          <w:szCs w:val="28"/>
        </w:rPr>
        <w:t>Educação 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Saúde e Ação Social e Meio Ambiente são atribuídos às Comissões relacionadas neste Artigo: § 2º- À Comissão de Saúde, Ação Social e Meio Ambiente compete manifestar-se em todos os projetos e matérias que versem sobre  desportos e assuntos relacionados com saúde, saneamento, cultura, meio ambiente, criança, adolescente, idoso e assistência e Previdência social em geral. (Modificado pela Resolução Plenária</w:t>
      </w:r>
      <w:r w:rsidR="006E7A8F">
        <w:rPr>
          <w:rFonts w:ascii="Arial" w:eastAsia="Arial" w:hAnsi="Arial" w:cs="Arial"/>
          <w:sz w:val="28"/>
          <w:szCs w:val="28"/>
        </w:rPr>
        <w:t xml:space="preserve"> nº 404, de 14 de março de 2006</w:t>
      </w:r>
      <w:r>
        <w:rPr>
          <w:rFonts w:ascii="Arial" w:eastAsia="Arial" w:hAnsi="Arial" w:cs="Arial"/>
          <w:sz w:val="28"/>
          <w:szCs w:val="28"/>
        </w:rPr>
        <w:t>)</w:t>
      </w:r>
      <w:r w:rsidR="006E7A8F">
        <w:rPr>
          <w:rFonts w:ascii="Arial" w:eastAsia="Arial" w:hAnsi="Arial" w:cs="Arial"/>
          <w:sz w:val="28"/>
          <w:szCs w:val="28"/>
        </w:rPr>
        <w:t>.</w:t>
      </w:r>
    </w:p>
    <w:p w:rsidR="001936AF" w:rsidRDefault="001936AF" w:rsidP="001940DA">
      <w:pPr>
        <w:pStyle w:val="normal0"/>
        <w:spacing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spacing w:line="36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CONSIDERAÇÕES FINAIS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5F5C0D" w:rsidRDefault="007D3940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bCs/>
          <w:sz w:val="28"/>
          <w:szCs w:val="28"/>
        </w:rPr>
        <w:t>inviabilidade de tramitação</w:t>
      </w:r>
      <w:r>
        <w:rPr>
          <w:rFonts w:ascii="Arial" w:eastAsia="Arial" w:hAnsi="Arial" w:cs="Arial"/>
          <w:sz w:val="28"/>
          <w:szCs w:val="28"/>
        </w:rPr>
        <w:t>, eis que a matéria legislada refoge ao alcance do Poder de Iniciativa Parlamentar, determinando a prática de atos administrativos.</w:t>
      </w:r>
    </w:p>
    <w:p w:rsidR="005F5C0D" w:rsidRDefault="005F5C0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5F5C0D" w:rsidRPr="006E7A8F" w:rsidRDefault="005F5C0D" w:rsidP="005F5C0D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sz w:val="28"/>
          <w:szCs w:val="28"/>
        </w:rPr>
      </w:pPr>
      <w:r w:rsidRPr="006E7A8F">
        <w:rPr>
          <w:rFonts w:ascii="Arial" w:hAnsi="Arial" w:cs="Arial"/>
          <w:sz w:val="28"/>
          <w:szCs w:val="28"/>
        </w:rPr>
        <w:t xml:space="preserve">Sugere-se que a matéria seja encaminhada ao Poder Executivo sob a forma de </w:t>
      </w:r>
      <w:r w:rsidRPr="006E7A8F">
        <w:rPr>
          <w:rFonts w:ascii="Arial" w:hAnsi="Arial" w:cs="Arial"/>
          <w:b/>
          <w:bCs/>
          <w:sz w:val="28"/>
          <w:szCs w:val="28"/>
        </w:rPr>
        <w:t>Indicação</w:t>
      </w:r>
      <w:r w:rsidRPr="006E7A8F">
        <w:rPr>
          <w:rFonts w:ascii="Arial" w:hAnsi="Arial" w:cs="Arial"/>
          <w:sz w:val="28"/>
          <w:szCs w:val="28"/>
        </w:rPr>
        <w:t>, permitindo que o Prefeito, caso entenda conveniente, apresente projeto de lei de sua autoria para instituir o programa sem vícios de origem.</w:t>
      </w:r>
    </w:p>
    <w:p w:rsidR="005F5C0D" w:rsidRDefault="005F5C0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940DA" w:rsidRDefault="007D3940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Como de costume, registr</w:t>
      </w:r>
      <w:r w:rsidR="001940DA"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 xml:space="preserve"> que o presente parecer tem natureza opinativa e não vincula a decisão das comissões. </w:t>
      </w:r>
    </w:p>
    <w:p w:rsidR="006E7A8F" w:rsidRDefault="006E7A8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1940DA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Encaminho</w:t>
      </w:r>
      <w:r w:rsidR="007D3940">
        <w:rPr>
          <w:rFonts w:ascii="Arial" w:eastAsia="Arial" w:hAnsi="Arial" w:cs="Arial"/>
          <w:sz w:val="28"/>
          <w:szCs w:val="28"/>
        </w:rPr>
        <w:t xml:space="preserve"> os autos à </w:t>
      </w:r>
      <w:r>
        <w:rPr>
          <w:rFonts w:ascii="Arial" w:eastAsia="Arial" w:hAnsi="Arial" w:cs="Arial"/>
          <w:sz w:val="28"/>
          <w:szCs w:val="28"/>
        </w:rPr>
        <w:t>Diretoria de Processo Legislativo</w:t>
      </w:r>
      <w:r w:rsidR="007D3940">
        <w:rPr>
          <w:rFonts w:ascii="Arial" w:eastAsia="Arial" w:hAnsi="Arial" w:cs="Arial"/>
          <w:sz w:val="28"/>
          <w:szCs w:val="28"/>
        </w:rPr>
        <w:t xml:space="preserve"> para as devidas diligências.</w:t>
      </w:r>
    </w:p>
    <w:p w:rsidR="001936AF" w:rsidRDefault="001936A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6E7A8F" w:rsidP="006E7A8F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19</w:t>
      </w:r>
      <w:r w:rsidR="007D3940">
        <w:rPr>
          <w:rFonts w:ascii="Arial" w:eastAsia="Arial" w:hAnsi="Arial" w:cs="Arial"/>
          <w:sz w:val="28"/>
          <w:szCs w:val="28"/>
        </w:rPr>
        <w:t xml:space="preserve"> de fevereiro de 2026</w:t>
      </w:r>
      <w:r w:rsidR="001940DA">
        <w:rPr>
          <w:rFonts w:ascii="Arial" w:eastAsia="Arial" w:hAnsi="Arial" w:cs="Arial"/>
          <w:sz w:val="28"/>
          <w:szCs w:val="28"/>
        </w:rPr>
        <w:t>.</w:t>
      </w:r>
    </w:p>
    <w:p w:rsidR="001936AF" w:rsidRDefault="001936AF" w:rsidP="006E7A8F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1936AF" w:rsidRDefault="007D3940" w:rsidP="006E7A8F">
      <w:pPr>
        <w:pStyle w:val="normal0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João Roberto da Fonseca Junior</w:t>
      </w:r>
    </w:p>
    <w:p w:rsidR="001936AF" w:rsidRDefault="007D3940" w:rsidP="006E7A8F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1936AF" w:rsidRDefault="007D3940" w:rsidP="006E7A8F">
      <w:pPr>
        <w:pStyle w:val="normal0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1936AF" w:rsidSect="001936AF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F5D" w:rsidRDefault="00C36F5D" w:rsidP="001936AF">
      <w:r>
        <w:separator/>
      </w:r>
    </w:p>
  </w:endnote>
  <w:endnote w:type="continuationSeparator" w:id="0">
    <w:p w:rsidR="00C36F5D" w:rsidRDefault="00C36F5D" w:rsidP="00193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E5CDEB5-59C4-4240-8C42-F63CC027505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3251D49-78D4-488D-9F61-AB83B6BDAF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5F1FB79-8D99-4503-A919-CC4F003163DB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F5D" w:rsidRDefault="00C36F5D" w:rsidP="001936AF">
      <w:r>
        <w:separator/>
      </w:r>
    </w:p>
  </w:footnote>
  <w:footnote w:type="continuationSeparator" w:id="0">
    <w:p w:rsidR="00C36F5D" w:rsidRDefault="00C36F5D" w:rsidP="001936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6AF" w:rsidRDefault="007D3940">
    <w:pPr>
      <w:pStyle w:val="Ttulo1"/>
      <w:ind w:left="708"/>
      <w:jc w:val="center"/>
    </w:pPr>
    <w:r>
      <w:rPr>
        <w:rFonts w:ascii="Arial" w:eastAsia="Arial" w:hAnsi="Arial" w:cs="Arial"/>
        <w:b/>
        <w:bCs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333333"/>
        <w:sz w:val="28"/>
        <w:szCs w:val="28"/>
      </w:rPr>
      <w:t>CÂMARA DE VEREADORES DE SAPUCAIA DO SUL</w:t>
    </w:r>
  </w:p>
  <w:p w:rsidR="001936AF" w:rsidRDefault="007D39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1936AF" w:rsidRDefault="007D39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1936AF" w:rsidRDefault="001936AF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65980"/>
    <w:multiLevelType w:val="multilevel"/>
    <w:tmpl w:val="867E3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DD1DD6"/>
    <w:multiLevelType w:val="multilevel"/>
    <w:tmpl w:val="C61CA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204B40"/>
    <w:multiLevelType w:val="multilevel"/>
    <w:tmpl w:val="4FD6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026E70"/>
    <w:multiLevelType w:val="multilevel"/>
    <w:tmpl w:val="3C68D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6AF"/>
    <w:rsid w:val="001936AF"/>
    <w:rsid w:val="001940DA"/>
    <w:rsid w:val="005F5C0D"/>
    <w:rsid w:val="006E7A8F"/>
    <w:rsid w:val="007D3940"/>
    <w:rsid w:val="00AB71C0"/>
    <w:rsid w:val="00AE5F27"/>
    <w:rsid w:val="00C36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0"/>
  </w:style>
  <w:style w:type="paragraph" w:styleId="Ttulo1">
    <w:name w:val="heading 1"/>
    <w:basedOn w:val="normal0"/>
    <w:next w:val="normal0"/>
    <w:rsid w:val="001936AF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1936AF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0"/>
    <w:next w:val="normal0"/>
    <w:rsid w:val="001936AF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0"/>
    <w:next w:val="normal0"/>
    <w:rsid w:val="001936AF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0"/>
    <w:next w:val="normal0"/>
    <w:rsid w:val="001936AF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0"/>
    <w:next w:val="normal0"/>
    <w:rsid w:val="001936AF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1936A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1936AF"/>
  </w:style>
  <w:style w:type="paragraph" w:styleId="Ttulo">
    <w:name w:val="Title"/>
    <w:basedOn w:val="normal0"/>
    <w:next w:val="normal0"/>
    <w:rsid w:val="001936AF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0"/>
    <w:next w:val="normal0"/>
    <w:rsid w:val="001936AF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E5F27"/>
    <w:pPr>
      <w:spacing w:before="100" w:beforeAutospacing="1" w:after="100" w:afterAutospacing="1"/>
    </w:pPr>
  </w:style>
  <w:style w:type="character" w:customStyle="1" w:styleId="citation-114">
    <w:name w:val="citation-114"/>
    <w:basedOn w:val="Fontepargpadro"/>
    <w:rsid w:val="00AE5F27"/>
  </w:style>
  <w:style w:type="character" w:customStyle="1" w:styleId="citation-113">
    <w:name w:val="citation-113"/>
    <w:basedOn w:val="Fontepargpadro"/>
    <w:rsid w:val="00AE5F27"/>
  </w:style>
  <w:style w:type="character" w:customStyle="1" w:styleId="citation-112">
    <w:name w:val="citation-112"/>
    <w:basedOn w:val="Fontepargpadro"/>
    <w:rsid w:val="00AE5F27"/>
  </w:style>
  <w:style w:type="character" w:customStyle="1" w:styleId="citation-111">
    <w:name w:val="citation-111"/>
    <w:basedOn w:val="Fontepargpadro"/>
    <w:rsid w:val="00AE5F27"/>
  </w:style>
  <w:style w:type="character" w:customStyle="1" w:styleId="citation-110">
    <w:name w:val="citation-110"/>
    <w:basedOn w:val="Fontepargpadro"/>
    <w:rsid w:val="006E7A8F"/>
  </w:style>
  <w:style w:type="character" w:customStyle="1" w:styleId="citation-109">
    <w:name w:val="citation-109"/>
    <w:basedOn w:val="Fontepargpadro"/>
    <w:rsid w:val="006E7A8F"/>
  </w:style>
  <w:style w:type="character" w:customStyle="1" w:styleId="citation-108">
    <w:name w:val="citation-108"/>
    <w:basedOn w:val="Fontepargpadro"/>
    <w:rsid w:val="006E7A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909</Words>
  <Characters>4913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2026-02-20T13:06:00Z</dcterms:created>
  <dcterms:modified xsi:type="dcterms:W3CDTF">2026-02-20T13:06:00Z</dcterms:modified>
</cp:coreProperties>
</file>