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31785" w:rsidRDefault="00C4516D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PLL nº #/202#</w:t>
      </w:r>
    </w:p>
    <w:p w14:paraId="00000002" w14:textId="77777777" w:rsidR="00131785" w:rsidRDefault="00C4516D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Nº do Processo: #</w:t>
      </w:r>
    </w:p>
    <w:p w14:paraId="00000003" w14:textId="77777777" w:rsidR="00131785" w:rsidRDefault="00C4516D">
      <w:pPr>
        <w:rPr>
          <w:rFonts w:ascii="Arial" w:eastAsia="Arial" w:hAnsi="Arial" w:cs="Arial"/>
          <w:b/>
          <w:sz w:val="32"/>
          <w:szCs w:val="32"/>
        </w:rPr>
      </w:pPr>
      <w:proofErr w:type="spellStart"/>
      <w:r>
        <w:rPr>
          <w:rFonts w:ascii="Arial" w:eastAsia="Arial" w:hAnsi="Arial" w:cs="Arial"/>
          <w:b/>
          <w:sz w:val="32"/>
          <w:szCs w:val="32"/>
        </w:rPr>
        <w:t>Requerente:Vereadores</w:t>
      </w:r>
      <w:proofErr w:type="spellEnd"/>
      <w:r>
        <w:rPr>
          <w:rFonts w:ascii="Arial" w:eastAsia="Arial" w:hAnsi="Arial" w:cs="Arial"/>
          <w:b/>
          <w:sz w:val="32"/>
          <w:szCs w:val="32"/>
        </w:rPr>
        <w:t xml:space="preserve"> Signatários</w:t>
      </w:r>
    </w:p>
    <w:p w14:paraId="00000004" w14:textId="77777777" w:rsidR="00131785" w:rsidRDefault="00C4516D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Tipo de Proposição:#</w:t>
      </w:r>
    </w:p>
    <w:p w14:paraId="00000005" w14:textId="77777777" w:rsidR="00131785" w:rsidRDefault="00C4516D">
      <w:pPr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Data de Conclusão à Procuradoria: #</w:t>
      </w:r>
    </w:p>
    <w:p w14:paraId="00000006" w14:textId="77777777" w:rsidR="00131785" w:rsidRDefault="00131785">
      <w:pPr>
        <w:rPr>
          <w:rFonts w:ascii="Arial" w:eastAsia="Arial" w:hAnsi="Arial" w:cs="Arial"/>
          <w:sz w:val="28"/>
          <w:szCs w:val="28"/>
        </w:rPr>
      </w:pPr>
    </w:p>
    <w:p w14:paraId="00000007" w14:textId="77777777" w:rsidR="00131785" w:rsidRDefault="00C4516D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14:paraId="00000008" w14:textId="77777777" w:rsidR="00131785" w:rsidRDefault="00131785">
      <w:pPr>
        <w:rPr>
          <w:rFonts w:ascii="Arial" w:eastAsia="Arial" w:hAnsi="Arial" w:cs="Arial"/>
          <w:sz w:val="28"/>
          <w:szCs w:val="28"/>
        </w:rPr>
      </w:pPr>
    </w:p>
    <w:p w14:paraId="00000009" w14:textId="77777777" w:rsidR="00131785" w:rsidRDefault="00C4516D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Versa o expediente sobre proposição subscrita pelos vereadores signatários, todos com assento nesta nobre Casa Legislativa, que solicitam aprovação do colendo Plenário para uma EMENDA MODIFICATIVA ao Projeto de Lei – Mensagem nº 014/2021.</w:t>
      </w:r>
    </w:p>
    <w:p w14:paraId="0000000A" w14:textId="77777777" w:rsidR="00131785" w:rsidRDefault="00131785">
      <w:pPr>
        <w:jc w:val="both"/>
        <w:rPr>
          <w:rFonts w:ascii="Arial" w:eastAsia="Arial" w:hAnsi="Arial" w:cs="Arial"/>
          <w:sz w:val="28"/>
          <w:szCs w:val="28"/>
        </w:rPr>
      </w:pPr>
    </w:p>
    <w:p w14:paraId="0000000B" w14:textId="77777777" w:rsidR="00131785" w:rsidRDefault="00C4516D">
      <w:pPr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O processo tramita exclusivamente em formato digital, </w:t>
      </w:r>
      <w:proofErr w:type="spellStart"/>
      <w:r>
        <w:rPr>
          <w:rFonts w:ascii="Arial" w:eastAsia="Arial" w:hAnsi="Arial" w:cs="Arial"/>
          <w:sz w:val="28"/>
          <w:szCs w:val="28"/>
        </w:rPr>
        <w:t>consta#m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dos autos eletrônicos o# seguinte# documento#:</w:t>
      </w:r>
    </w:p>
    <w:p w14:paraId="0000000C" w14:textId="77777777" w:rsidR="00131785" w:rsidRDefault="00131785">
      <w:pPr>
        <w:jc w:val="both"/>
        <w:rPr>
          <w:rFonts w:ascii="Arial" w:eastAsia="Arial" w:hAnsi="Arial" w:cs="Arial"/>
          <w:sz w:val="28"/>
          <w:szCs w:val="28"/>
        </w:rPr>
      </w:pPr>
    </w:p>
    <w:p w14:paraId="0000000D" w14:textId="77777777" w:rsidR="00131785" w:rsidRDefault="00C4516D">
      <w:pPr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# (página única)</w:t>
      </w:r>
    </w:p>
    <w:p w14:paraId="0000000E" w14:textId="77777777" w:rsidR="00131785" w:rsidRDefault="00131785">
      <w:pPr>
        <w:spacing w:line="360" w:lineRule="auto"/>
        <w:ind w:firstLine="708"/>
        <w:jc w:val="both"/>
        <w:rPr>
          <w:rFonts w:ascii="Arial" w:eastAsia="Arial" w:hAnsi="Arial" w:cs="Arial"/>
          <w:sz w:val="28"/>
          <w:szCs w:val="28"/>
        </w:rPr>
      </w:pPr>
    </w:p>
    <w:p w14:paraId="0000000F" w14:textId="77777777" w:rsidR="00131785" w:rsidRDefault="00C4516D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14:paraId="00000010" w14:textId="77777777" w:rsidR="00131785" w:rsidRDefault="00131785">
      <w:pPr>
        <w:rPr>
          <w:rFonts w:ascii="Arial" w:eastAsia="Arial" w:hAnsi="Arial" w:cs="Arial"/>
          <w:sz w:val="28"/>
          <w:szCs w:val="28"/>
        </w:rPr>
      </w:pPr>
    </w:p>
    <w:p w14:paraId="00000011" w14:textId="77777777" w:rsidR="00131785" w:rsidRDefault="00C4516D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A respeito do poder de iniciativa parlamentar, transcrevemos:</w:t>
      </w:r>
    </w:p>
    <w:p w14:paraId="00000012" w14:textId="77777777" w:rsidR="00131785" w:rsidRDefault="00131785">
      <w:pPr>
        <w:rPr>
          <w:rFonts w:ascii="Arial" w:eastAsia="Arial" w:hAnsi="Arial" w:cs="Arial"/>
          <w:sz w:val="28"/>
          <w:szCs w:val="28"/>
        </w:rPr>
      </w:pPr>
    </w:p>
    <w:p w14:paraId="00000013" w14:textId="77777777" w:rsidR="00131785" w:rsidRDefault="00C4516D">
      <w:pPr>
        <w:spacing w:before="240" w:after="24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“Emendas são proposições ou propostas de direito novo, apresentadas como acessórias ou secundária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14:paraId="00000014" w14:textId="77777777" w:rsidR="00131785" w:rsidRDefault="00C4516D">
      <w:pPr>
        <w:spacing w:before="240" w:after="24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     </w:t>
      </w:r>
      <w:r>
        <w:rPr>
          <w:rFonts w:ascii="Arial" w:eastAsia="Arial" w:hAnsi="Arial" w:cs="Arial"/>
          <w:i/>
          <w:sz w:val="28"/>
          <w:szCs w:val="28"/>
        </w:rPr>
        <w:tab/>
        <w:t>Na qualidade de proposições acessórias, as emendas e subemendas deverão sempre ser apreciadas após a votação e aprovação do projeto principal”.</w:t>
      </w:r>
    </w:p>
    <w:p w14:paraId="00000015" w14:textId="77777777" w:rsidR="00131785" w:rsidRDefault="00C4516D">
      <w:pPr>
        <w:spacing w:before="240" w:after="24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(In: “O Processo Legislativo Municipal: Doutrina, Jurisprudência e Prática”. Sampaio Júnior, João. 2ª ed. – Belo Horizonte: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Forum</w:t>
      </w:r>
      <w:proofErr w:type="spellEnd"/>
      <w:r>
        <w:rPr>
          <w:rFonts w:ascii="Arial" w:eastAsia="Arial" w:hAnsi="Arial" w:cs="Arial"/>
          <w:i/>
          <w:sz w:val="28"/>
          <w:szCs w:val="28"/>
        </w:rPr>
        <w:t>, 2009. p.96).</w:t>
      </w:r>
    </w:p>
    <w:p w14:paraId="00000016" w14:textId="77777777" w:rsidR="00131785" w:rsidRDefault="00131785">
      <w:pPr>
        <w:spacing w:before="240" w:after="240" w:line="360" w:lineRule="auto"/>
        <w:ind w:left="3540"/>
        <w:jc w:val="both"/>
        <w:rPr>
          <w:rFonts w:ascii="Arial" w:eastAsia="Arial" w:hAnsi="Arial" w:cs="Arial"/>
          <w:i/>
          <w:sz w:val="28"/>
          <w:szCs w:val="28"/>
        </w:rPr>
      </w:pPr>
    </w:p>
    <w:p w14:paraId="00000017" w14:textId="77777777" w:rsidR="00131785" w:rsidRDefault="00C4516D">
      <w:pPr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 xml:space="preserve">Adentrando à tramitação do processo legislativo, cumpre transcrever a regulamentação constante do Regimento Interno da nobre Casa Legislativa Municipal:  </w:t>
      </w:r>
    </w:p>
    <w:p w14:paraId="00000018" w14:textId="77777777" w:rsidR="00131785" w:rsidRDefault="00C4516D">
      <w:pPr>
        <w:spacing w:before="240" w:after="240"/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14:paraId="00000019" w14:textId="77777777" w:rsidR="00131785" w:rsidRDefault="00C4516D">
      <w:pPr>
        <w:spacing w:before="240" w:after="2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14:paraId="0000001A" w14:textId="12BF268D" w:rsidR="00131785" w:rsidRDefault="00C4516D">
      <w:pPr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 xml:space="preserve">Ao que consta do sistema de protocolo, observamos que o expediente administrativo foi apresentado a protocolo na data de </w:t>
      </w:r>
      <w:r w:rsidR="00407E9F">
        <w:rPr>
          <w:rFonts w:ascii="Arial" w:eastAsia="Arial" w:hAnsi="Arial" w:cs="Arial"/>
          <w:sz w:val="28"/>
          <w:szCs w:val="28"/>
        </w:rPr>
        <w:t>28/06/2021</w:t>
      </w:r>
      <w:r>
        <w:rPr>
          <w:rFonts w:ascii="Arial" w:eastAsia="Arial" w:hAnsi="Arial" w:cs="Arial"/>
          <w:sz w:val="28"/>
          <w:szCs w:val="28"/>
        </w:rPr>
        <w:t xml:space="preserve">, estando a proposição principal incluída para </w:t>
      </w:r>
      <w:r w:rsidR="00407E9F">
        <w:rPr>
          <w:rFonts w:ascii="Arial" w:eastAsia="Arial" w:hAnsi="Arial" w:cs="Arial"/>
          <w:sz w:val="28"/>
          <w:szCs w:val="28"/>
        </w:rPr>
        <w:t>1ª</w:t>
      </w:r>
      <w:r>
        <w:rPr>
          <w:rFonts w:ascii="Arial" w:eastAsia="Arial" w:hAnsi="Arial" w:cs="Arial"/>
          <w:sz w:val="28"/>
          <w:szCs w:val="28"/>
        </w:rPr>
        <w:t xml:space="preserve"> discussão e votação na ordem do dia da sessão do dia </w:t>
      </w:r>
      <w:r w:rsidR="00407E9F">
        <w:rPr>
          <w:rFonts w:ascii="Arial" w:eastAsia="Arial" w:hAnsi="Arial" w:cs="Arial"/>
          <w:sz w:val="28"/>
          <w:szCs w:val="28"/>
        </w:rPr>
        <w:t>29/06/2021</w:t>
      </w:r>
      <w:r>
        <w:rPr>
          <w:rFonts w:ascii="Arial" w:eastAsia="Arial" w:hAnsi="Arial" w:cs="Arial"/>
          <w:sz w:val="28"/>
          <w:szCs w:val="28"/>
        </w:rPr>
        <w:t xml:space="preserve">, às </w:t>
      </w:r>
      <w:r w:rsidR="00407E9F">
        <w:rPr>
          <w:rFonts w:ascii="Arial" w:eastAsia="Arial" w:hAnsi="Arial" w:cs="Arial"/>
          <w:sz w:val="28"/>
          <w:szCs w:val="28"/>
        </w:rPr>
        <w:t>11</w:t>
      </w:r>
      <w:r>
        <w:rPr>
          <w:rFonts w:ascii="Arial" w:eastAsia="Arial" w:hAnsi="Arial" w:cs="Arial"/>
          <w:sz w:val="28"/>
          <w:szCs w:val="28"/>
        </w:rPr>
        <w:t xml:space="preserve"> horas. Resta, portanto, cumprido tal requisito formal. </w:t>
      </w:r>
    </w:p>
    <w:p w14:paraId="0000001B" w14:textId="77777777" w:rsidR="00131785" w:rsidRDefault="00C4516D">
      <w:pPr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>No que se refere à possibilidade de emenda parlamentar em projetos de iniciativa do Poder Executivo, transcrevemos:</w:t>
      </w:r>
    </w:p>
    <w:p w14:paraId="0000001C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1D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     </w:t>
      </w:r>
      <w:r>
        <w:rPr>
          <w:rFonts w:ascii="Arial" w:eastAsia="Arial" w:hAnsi="Arial" w:cs="Arial"/>
          <w:i/>
          <w:sz w:val="28"/>
          <w:szCs w:val="28"/>
        </w:rPr>
        <w:tab/>
        <w:t>O texto de 1988 restituiu aos parlamentares boa parte do poder de emenda que lhes havia sido retirado pelo regime (ditatorial) anterior.</w:t>
      </w:r>
    </w:p>
    <w:p w14:paraId="0000001E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1F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     </w:t>
      </w:r>
      <w:r>
        <w:rPr>
          <w:rFonts w:ascii="Arial" w:eastAsia="Arial" w:hAnsi="Arial" w:cs="Arial"/>
          <w:i/>
          <w:sz w:val="28"/>
          <w:szCs w:val="28"/>
        </w:rPr>
        <w:tab/>
        <w:t xml:space="preserve">Assim, nos termos do art. 63, I e II, não será admitido aumento da despesa prevista a) nos projetos de iniciativa exclusiva do Presidente da República, ressalvado o </w:t>
      </w:r>
      <w:r>
        <w:rPr>
          <w:rFonts w:ascii="Arial" w:eastAsia="Arial" w:hAnsi="Arial" w:cs="Arial"/>
          <w:i/>
          <w:sz w:val="28"/>
          <w:szCs w:val="28"/>
        </w:rPr>
        <w:lastRenderedPageBreak/>
        <w:t xml:space="preserve">disposto no art. 166, §§3º e 4º; b) nos projetos sobre organização dos serviços administrativos da Câmara dos Deputados, do Senado Federal, dos Tribunais Federais e do Ministério Público. A </w:t>
      </w:r>
      <w:proofErr w:type="spellStart"/>
      <w:r>
        <w:rPr>
          <w:rFonts w:ascii="Arial" w:eastAsia="Arial" w:hAnsi="Arial" w:cs="Arial"/>
          <w:i/>
          <w:sz w:val="28"/>
          <w:szCs w:val="28"/>
        </w:rPr>
        <w:t>contrariu</w:t>
      </w:r>
      <w:proofErr w:type="spellEnd"/>
      <w:r>
        <w:rPr>
          <w:rFonts w:ascii="Arial" w:eastAsia="Arial" w:hAnsi="Arial" w:cs="Arial"/>
          <w:i/>
          <w:sz w:val="28"/>
          <w:szCs w:val="28"/>
        </w:rPr>
        <w:t xml:space="preserve"> sensu, então, será admitido o poder de emenda parlamentar.</w:t>
      </w:r>
    </w:p>
    <w:p w14:paraId="00000020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21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     </w:t>
      </w:r>
      <w:r>
        <w:rPr>
          <w:rFonts w:ascii="Arial" w:eastAsia="Arial" w:hAnsi="Arial" w:cs="Arial"/>
          <w:i/>
          <w:sz w:val="28"/>
          <w:szCs w:val="28"/>
        </w:rPr>
        <w:tab/>
        <w:t>Nesses termos, de modo geral, entende o STF que cabe emenda parlamentar, desde que respeitados os seguintes requisitos:</w:t>
      </w:r>
    </w:p>
    <w:p w14:paraId="00000022" w14:textId="77777777" w:rsidR="00131785" w:rsidRDefault="00C4516D">
      <w:pPr>
        <w:ind w:left="4620" w:hanging="36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·</w:t>
      </w:r>
      <w:r>
        <w:rPr>
          <w:sz w:val="14"/>
          <w:szCs w:val="14"/>
        </w:rPr>
        <w:t xml:space="preserve">       </w:t>
      </w:r>
      <w:r>
        <w:rPr>
          <w:rFonts w:ascii="Arial" w:eastAsia="Arial" w:hAnsi="Arial" w:cs="Arial"/>
          <w:i/>
          <w:sz w:val="28"/>
          <w:szCs w:val="28"/>
        </w:rPr>
        <w:t xml:space="preserve">Os dispositivos introduzidos por emenda parlamentar não podem estar destituídos de </w:t>
      </w:r>
      <w:r>
        <w:rPr>
          <w:rFonts w:ascii="Arial" w:eastAsia="Arial" w:hAnsi="Arial" w:cs="Arial"/>
          <w:b/>
          <w:i/>
          <w:sz w:val="28"/>
          <w:szCs w:val="28"/>
        </w:rPr>
        <w:t>pertinência temática</w:t>
      </w:r>
      <w:r>
        <w:rPr>
          <w:rFonts w:ascii="Arial" w:eastAsia="Arial" w:hAnsi="Arial" w:cs="Arial"/>
          <w:i/>
          <w:sz w:val="28"/>
          <w:szCs w:val="28"/>
        </w:rPr>
        <w:t xml:space="preserve"> com o projeto original;</w:t>
      </w:r>
    </w:p>
    <w:p w14:paraId="00000023" w14:textId="77777777" w:rsidR="00131785" w:rsidRDefault="00C4516D">
      <w:pPr>
        <w:ind w:left="4620" w:hanging="36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·</w:t>
      </w:r>
      <w:r>
        <w:rPr>
          <w:sz w:val="14"/>
          <w:szCs w:val="14"/>
        </w:rPr>
        <w:t xml:space="preserve">       </w:t>
      </w:r>
      <w:r>
        <w:rPr>
          <w:rFonts w:ascii="Arial" w:eastAsia="Arial" w:hAnsi="Arial" w:cs="Arial"/>
          <w:i/>
          <w:sz w:val="28"/>
          <w:szCs w:val="28"/>
        </w:rPr>
        <w:t xml:space="preserve">Os dispositivos introduzidos por emenda parlamentar </w:t>
      </w:r>
      <w:r>
        <w:rPr>
          <w:rFonts w:ascii="Arial" w:eastAsia="Arial" w:hAnsi="Arial" w:cs="Arial"/>
          <w:b/>
          <w:i/>
          <w:sz w:val="28"/>
          <w:szCs w:val="28"/>
        </w:rPr>
        <w:t>não podem acarretar aumento de despesa</w:t>
      </w:r>
      <w:r>
        <w:rPr>
          <w:rFonts w:ascii="Arial" w:eastAsia="Arial" w:hAnsi="Arial" w:cs="Arial"/>
          <w:i/>
          <w:sz w:val="28"/>
          <w:szCs w:val="28"/>
        </w:rPr>
        <w:t xml:space="preserve"> ao projeto original.</w:t>
      </w:r>
    </w:p>
    <w:p w14:paraId="00000024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25" w14:textId="77777777" w:rsidR="00131785" w:rsidRDefault="00C4516D">
      <w:pPr>
        <w:ind w:left="3540" w:firstLine="70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Assim, cabe emenda parlamentar nas hipóteses de </w:t>
      </w:r>
      <w:r>
        <w:rPr>
          <w:rFonts w:ascii="Arial" w:eastAsia="Arial" w:hAnsi="Arial" w:cs="Arial"/>
          <w:b/>
          <w:i/>
          <w:sz w:val="28"/>
          <w:szCs w:val="28"/>
        </w:rPr>
        <w:t>lei de iniciativa exclusiva do Presidente da República</w:t>
      </w:r>
      <w:r>
        <w:rPr>
          <w:rFonts w:ascii="Arial" w:eastAsia="Arial" w:hAnsi="Arial" w:cs="Arial"/>
          <w:i/>
          <w:sz w:val="28"/>
          <w:szCs w:val="28"/>
        </w:rPr>
        <w:t>, desde que haja pertinência temática e, por regra, não acarrete aumento de despesas.</w:t>
      </w:r>
    </w:p>
    <w:p w14:paraId="00000026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27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     </w:t>
      </w:r>
      <w:r>
        <w:rPr>
          <w:rFonts w:ascii="Arial" w:eastAsia="Arial" w:hAnsi="Arial" w:cs="Arial"/>
          <w:i/>
          <w:sz w:val="28"/>
          <w:szCs w:val="28"/>
        </w:rPr>
        <w:tab/>
        <w:t>Excepcionalmente, contudo, nos projetos orçamentários de iniciativa exclusiva do Presidente da República admitem-se emendas parlamentares, mesmo que impliquem em aumento de despesas (art. 63, I c/c o art. 166, §§3º e 4º):</w:t>
      </w:r>
    </w:p>
    <w:p w14:paraId="00000028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29" w14:textId="77777777" w:rsidR="00131785" w:rsidRDefault="00C4516D">
      <w:pPr>
        <w:ind w:left="354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(in: “Direito Constitucional Esquematizado”. </w:t>
      </w:r>
      <w:proofErr w:type="spellStart"/>
      <w:r>
        <w:rPr>
          <w:rFonts w:ascii="Arial" w:eastAsia="Arial" w:hAnsi="Arial" w:cs="Arial"/>
          <w:sz w:val="28"/>
          <w:szCs w:val="28"/>
        </w:rPr>
        <w:t>Lenza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, Pedro. 16 ed. Ver. Atual. E </w:t>
      </w:r>
      <w:proofErr w:type="spellStart"/>
      <w:r>
        <w:rPr>
          <w:rFonts w:ascii="Arial" w:eastAsia="Arial" w:hAnsi="Arial" w:cs="Arial"/>
          <w:sz w:val="28"/>
          <w:szCs w:val="28"/>
        </w:rPr>
        <w:t>ampl</w:t>
      </w:r>
      <w:proofErr w:type="spellEnd"/>
      <w:r>
        <w:rPr>
          <w:rFonts w:ascii="Arial" w:eastAsia="Arial" w:hAnsi="Arial" w:cs="Arial"/>
          <w:sz w:val="28"/>
          <w:szCs w:val="28"/>
        </w:rPr>
        <w:t>. – São Paulo: Saraiva, 2012, p.551)</w:t>
      </w:r>
    </w:p>
    <w:p w14:paraId="0000002A" w14:textId="77777777" w:rsidR="00131785" w:rsidRDefault="00131785">
      <w:pPr>
        <w:jc w:val="both"/>
        <w:rPr>
          <w:rFonts w:ascii="Arial" w:eastAsia="Arial" w:hAnsi="Arial" w:cs="Arial"/>
          <w:sz w:val="28"/>
          <w:szCs w:val="28"/>
        </w:rPr>
      </w:pPr>
    </w:p>
    <w:p w14:paraId="0000002B" w14:textId="77777777" w:rsidR="00131785" w:rsidRDefault="00C4516D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Analisando o mérito das medidas propostas no corpo da emenda, verifica-se que </w:t>
      </w:r>
      <w:proofErr w:type="gramStart"/>
      <w:r>
        <w:rPr>
          <w:rFonts w:ascii="Arial" w:eastAsia="Arial" w:hAnsi="Arial" w:cs="Arial"/>
          <w:sz w:val="28"/>
          <w:szCs w:val="28"/>
        </w:rPr>
        <w:t>guardam  pertinência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temática com o projeto original, tratando de acrescentar aos beneficiários do convênio os Secretários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Municipais, Vereadores, servidores da Câmara Municipal e seus dependentes legais. </w:t>
      </w:r>
    </w:p>
    <w:p w14:paraId="54E81F11" w14:textId="6F669CCC" w:rsidR="00407E9F" w:rsidRDefault="00C4516D" w:rsidP="00407E9F">
      <w:pPr>
        <w:spacing w:before="240" w:after="240"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No que se refere ao aspecto financeiro-fiscal, verifica-se que a proposição original conta com competente estimativa atestando que inexistem reflexos orçamentários nos exercícios de 2021 e 202</w:t>
      </w:r>
      <w:r w:rsidR="00BC6A0C">
        <w:rPr>
          <w:rFonts w:ascii="Arial" w:eastAsia="Arial" w:hAnsi="Arial" w:cs="Arial"/>
          <w:sz w:val="28"/>
          <w:szCs w:val="28"/>
        </w:rPr>
        <w:t xml:space="preserve">2, sendo que, acerca da referida emenda, as alterações dispostas foram devidamente sanadas junto à represente do Poder Executivo, Sr. Cristiane </w:t>
      </w:r>
      <w:proofErr w:type="spellStart"/>
      <w:r w:rsidR="00BC6A0C">
        <w:rPr>
          <w:rFonts w:ascii="Arial" w:eastAsia="Arial" w:hAnsi="Arial" w:cs="Arial"/>
          <w:sz w:val="28"/>
          <w:szCs w:val="28"/>
        </w:rPr>
        <w:t>Zandonai</w:t>
      </w:r>
      <w:proofErr w:type="spellEnd"/>
      <w:r w:rsidR="00BC6A0C">
        <w:rPr>
          <w:rFonts w:ascii="Arial" w:eastAsia="Arial" w:hAnsi="Arial" w:cs="Arial"/>
          <w:sz w:val="28"/>
          <w:szCs w:val="28"/>
        </w:rPr>
        <w:t xml:space="preserve"> (técnica da Sec. Fazenda).</w:t>
      </w:r>
    </w:p>
    <w:p w14:paraId="0000002D" w14:textId="77777777" w:rsidR="00131785" w:rsidRDefault="00C4516D">
      <w:pPr>
        <w:spacing w:before="240" w:after="240"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</w:t>
      </w:r>
      <w:r>
        <w:rPr>
          <w:rFonts w:ascii="Arial" w:eastAsia="Arial" w:hAnsi="Arial" w:cs="Arial"/>
          <w:sz w:val="28"/>
          <w:szCs w:val="28"/>
        </w:rPr>
        <w:tab/>
        <w:t>Finalmente, no aspecto relativo à tramitação do projeto legislativo, a proposição fica sujeita à observação do seguinte rito (RI):</w:t>
      </w:r>
    </w:p>
    <w:p w14:paraId="0000002E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2F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137- Na discussão única e na primeira discussão serão recebidas emendas, subemendas e Projetos Substitutivos, apresentados por ocasião dos debates; em segunda discussão somente se admitirão emendas e subemendas.</w:t>
      </w:r>
    </w:p>
    <w:p w14:paraId="00000030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31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138- Na hipótese do artigo anterior, sustar-se-á a discussão para que as Emendas e Projetos Substitutivos sejam objeto de exame das Comissões Permanentes a que esteja afeta a matéria.</w:t>
      </w:r>
    </w:p>
    <w:p w14:paraId="00000032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 xml:space="preserve"> </w:t>
      </w:r>
    </w:p>
    <w:p w14:paraId="00000033" w14:textId="77777777" w:rsidR="00131785" w:rsidRDefault="00C4516D">
      <w:pPr>
        <w:ind w:left="3540"/>
        <w:jc w:val="both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Art. 139- Em nenhuma hipótese a segunda discussão ocorrerá na mesma sessão em que tenha ocorrido a primeira discussão.</w:t>
      </w:r>
    </w:p>
    <w:p w14:paraId="00000034" w14:textId="77777777" w:rsidR="00131785" w:rsidRDefault="00131785">
      <w:pPr>
        <w:jc w:val="both"/>
        <w:rPr>
          <w:rFonts w:ascii="Arial" w:eastAsia="Arial" w:hAnsi="Arial" w:cs="Arial"/>
          <w:sz w:val="28"/>
          <w:szCs w:val="28"/>
        </w:rPr>
      </w:pPr>
    </w:p>
    <w:p w14:paraId="00000035" w14:textId="77777777" w:rsidR="00131785" w:rsidRDefault="00C4516D">
      <w:p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14:paraId="00000036" w14:textId="77777777" w:rsidR="00131785" w:rsidRDefault="00131785">
      <w:pPr>
        <w:rPr>
          <w:rFonts w:ascii="Arial" w:eastAsia="Arial" w:hAnsi="Arial" w:cs="Arial"/>
          <w:sz w:val="28"/>
          <w:szCs w:val="28"/>
        </w:rPr>
      </w:pPr>
    </w:p>
    <w:p w14:paraId="00000037" w14:textId="77777777" w:rsidR="00131785" w:rsidRDefault="00C4516D">
      <w:pPr>
        <w:spacing w:line="360" w:lineRule="auto"/>
        <w:jc w:val="both"/>
        <w:rPr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14:paraId="00000038" w14:textId="77777777" w:rsidR="00131785" w:rsidRDefault="00131785">
      <w:pPr>
        <w:jc w:val="right"/>
        <w:rPr>
          <w:rFonts w:ascii="Arial" w:eastAsia="Arial" w:hAnsi="Arial" w:cs="Arial"/>
          <w:sz w:val="28"/>
          <w:szCs w:val="28"/>
        </w:rPr>
      </w:pPr>
    </w:p>
    <w:p w14:paraId="00000039" w14:textId="77777777" w:rsidR="00131785" w:rsidRDefault="00C4516D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Em conformidade com os fundamentos normativos e doutrinários apresentados acima, encaminhamos o expediente ao prosseguimento, </w:t>
      </w:r>
      <w:r>
        <w:rPr>
          <w:rFonts w:ascii="Arial" w:eastAsia="Arial" w:hAnsi="Arial" w:cs="Arial"/>
          <w:sz w:val="28"/>
          <w:szCs w:val="28"/>
        </w:rPr>
        <w:lastRenderedPageBreak/>
        <w:t>opinando pela viabilidade da tramitação. Assevera-se, outrossim, que o presente parecer tem natureza opinativa e não vincula a decisão das comissões. À conclusão superior, e com aprovação, encaminhem-se os autos à DIRETORIA LEGISLATIVA para as devidas diligências.</w:t>
      </w:r>
    </w:p>
    <w:p w14:paraId="0000003A" w14:textId="77777777" w:rsidR="00131785" w:rsidRDefault="00131785">
      <w:pPr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14:paraId="0000003B" w14:textId="77777777" w:rsidR="00131785" w:rsidRDefault="00C4516D">
      <w:pPr>
        <w:spacing w:line="360" w:lineRule="auto"/>
        <w:ind w:firstLine="708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29 de junho de 2021</w:t>
      </w:r>
    </w:p>
    <w:p w14:paraId="0000003C" w14:textId="77777777" w:rsidR="00131785" w:rsidRDefault="00131785">
      <w:pPr>
        <w:jc w:val="right"/>
        <w:rPr>
          <w:rFonts w:ascii="Arial" w:eastAsia="Arial" w:hAnsi="Arial" w:cs="Arial"/>
          <w:sz w:val="28"/>
          <w:szCs w:val="28"/>
        </w:rPr>
      </w:pPr>
    </w:p>
    <w:p w14:paraId="0000003D" w14:textId="77777777" w:rsidR="00131785" w:rsidRDefault="00131785">
      <w:pPr>
        <w:jc w:val="right"/>
        <w:rPr>
          <w:rFonts w:ascii="Arial" w:eastAsia="Arial" w:hAnsi="Arial" w:cs="Arial"/>
          <w:sz w:val="28"/>
          <w:szCs w:val="28"/>
        </w:rPr>
      </w:pPr>
    </w:p>
    <w:p w14:paraId="0000003E" w14:textId="77777777" w:rsidR="00131785" w:rsidRDefault="00C4516D">
      <w:pPr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14:paraId="0000003F" w14:textId="77777777" w:rsidR="00131785" w:rsidRDefault="00C4516D">
      <w:pPr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14:paraId="00000040" w14:textId="77777777" w:rsidR="00131785" w:rsidRDefault="00C4516D">
      <w:pPr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131785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AEB1F" w14:textId="77777777" w:rsidR="006C2DB0" w:rsidRDefault="006C2DB0">
      <w:r>
        <w:separator/>
      </w:r>
    </w:p>
  </w:endnote>
  <w:endnote w:type="continuationSeparator" w:id="0">
    <w:p w14:paraId="3BDC02FE" w14:textId="77777777" w:rsidR="006C2DB0" w:rsidRDefault="006C2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5BB03" w14:textId="77777777" w:rsidR="006C2DB0" w:rsidRDefault="006C2DB0">
      <w:r>
        <w:separator/>
      </w:r>
    </w:p>
  </w:footnote>
  <w:footnote w:type="continuationSeparator" w:id="0">
    <w:p w14:paraId="27AB5833" w14:textId="77777777" w:rsidR="006C2DB0" w:rsidRDefault="006C2D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1" w14:textId="77777777" w:rsidR="00131785" w:rsidRDefault="00C4516D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14:paraId="00000042" w14:textId="77777777" w:rsidR="00131785" w:rsidRDefault="00C4516D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00000043" w14:textId="77777777" w:rsidR="00131785" w:rsidRDefault="00C4516D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00000044" w14:textId="77777777" w:rsidR="00131785" w:rsidRDefault="001317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0743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785"/>
    <w:rsid w:val="00131785"/>
    <w:rsid w:val="00407E9F"/>
    <w:rsid w:val="006C2DB0"/>
    <w:rsid w:val="00B43260"/>
    <w:rsid w:val="00BC6A0C"/>
    <w:rsid w:val="00C4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F6A88"/>
  <w15:docId w15:val="{543B82BF-A8DB-F14F-A9EC-C6BFC0C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869</Words>
  <Characters>4696</Characters>
  <Application>Microsoft Office Word</Application>
  <DocSecurity>0</DocSecurity>
  <Lines>39</Lines>
  <Paragraphs>11</Paragraphs>
  <ScaleCrop>false</ScaleCrop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3</cp:revision>
  <dcterms:created xsi:type="dcterms:W3CDTF">2021-06-30T11:50:00Z</dcterms:created>
  <dcterms:modified xsi:type="dcterms:W3CDTF">2021-06-30T11:52:00Z</dcterms:modified>
</cp:coreProperties>
</file>