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1208C1BC" w14:textId="3B80842C" w:rsidR="00D15AEA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>Processo Nº</w:t>
      </w:r>
      <w:r w:rsidR="00067F90">
        <w:rPr>
          <w:rFonts w:ascii="Arial" w:hAnsi="Arial" w:cs="Arial"/>
          <w:b/>
          <w:bCs/>
        </w:rPr>
        <w:t>:</w:t>
      </w:r>
      <w:r w:rsidR="00AA4ECD">
        <w:rPr>
          <w:rFonts w:ascii="Arial" w:hAnsi="Arial" w:cs="Arial"/>
          <w:b/>
          <w:bCs/>
        </w:rPr>
        <w:t xml:space="preserve"> </w:t>
      </w:r>
      <w:r w:rsidR="00242ACC">
        <w:rPr>
          <w:rFonts w:ascii="Arial" w:hAnsi="Arial" w:cs="Arial"/>
          <w:b/>
          <w:bCs/>
        </w:rPr>
        <w:t>2265</w:t>
      </w:r>
      <w:r w:rsidR="00611F15">
        <w:rPr>
          <w:rFonts w:ascii="Arial" w:hAnsi="Arial" w:cs="Arial"/>
          <w:b/>
          <w:bCs/>
        </w:rPr>
        <w:t>0</w:t>
      </w:r>
      <w:r w:rsidR="00577962">
        <w:rPr>
          <w:rFonts w:ascii="Arial" w:hAnsi="Arial" w:cs="Arial"/>
          <w:b/>
          <w:bCs/>
        </w:rPr>
        <w:t>/</w:t>
      </w:r>
      <w:r w:rsidR="00AA4ECD">
        <w:rPr>
          <w:rFonts w:ascii="Arial" w:hAnsi="Arial" w:cs="Arial"/>
          <w:b/>
          <w:bCs/>
        </w:rPr>
        <w:t>2021</w:t>
      </w:r>
    </w:p>
    <w:p w14:paraId="060BF1D6" w14:textId="77777777" w:rsidR="00AA4ECD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402E4994" w14:textId="0EB45AD7" w:rsidR="00AA4ECD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PLL 0</w:t>
      </w:r>
      <w:r w:rsidR="00242ACC">
        <w:rPr>
          <w:rFonts w:ascii="Arial" w:hAnsi="Arial" w:cs="Arial"/>
          <w:b/>
          <w:bCs/>
        </w:rPr>
        <w:t>66</w:t>
      </w:r>
      <w:r>
        <w:rPr>
          <w:rFonts w:ascii="Arial" w:hAnsi="Arial" w:cs="Arial"/>
          <w:b/>
          <w:bCs/>
        </w:rPr>
        <w:t>/2021</w:t>
      </w:r>
      <w:r w:rsidR="00F0243C">
        <w:rPr>
          <w:rFonts w:ascii="Arial" w:hAnsi="Arial" w:cs="Arial"/>
          <w:b/>
          <w:bCs/>
        </w:rPr>
        <w:t xml:space="preserve"> - </w:t>
      </w:r>
      <w:r w:rsidR="00F0243C" w:rsidRPr="00242ACC">
        <w:rPr>
          <w:rFonts w:ascii="Arial" w:hAnsi="Arial" w:cs="Arial"/>
          <w:b/>
          <w:bCs/>
          <w:sz w:val="22"/>
          <w:szCs w:val="22"/>
        </w:rPr>
        <w:t>“</w:t>
      </w:r>
      <w:r w:rsidR="00F0243C" w:rsidRPr="00242ACC">
        <w:rPr>
          <w:rFonts w:ascii="Arial" w:hAnsi="Arial" w:cs="Arial"/>
          <w:b/>
          <w:bCs/>
          <w:i/>
          <w:iCs/>
          <w:sz w:val="22"/>
          <w:szCs w:val="22"/>
        </w:rPr>
        <w:t>Institui a Semana Municipal das Artes Marciais e Esportes de Luta e o Dia Municipal do Taekwondo no âmbito do Município de Sapucaia do Sul e dá outras providências</w:t>
      </w:r>
      <w:r w:rsidR="00F0243C" w:rsidRPr="00242ACC">
        <w:rPr>
          <w:rFonts w:ascii="Arial" w:hAnsi="Arial" w:cs="Arial"/>
          <w:b/>
          <w:bCs/>
          <w:sz w:val="22"/>
          <w:szCs w:val="22"/>
        </w:rPr>
        <w:t>.”.</w:t>
      </w:r>
    </w:p>
    <w:p w14:paraId="73BCF3F5" w14:textId="77777777" w:rsidR="00246DBC" w:rsidRPr="002A1F59" w:rsidRDefault="00246DBC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74FD12A6" w14:textId="4FA6A42B" w:rsidR="00D15AEA" w:rsidRPr="001315A8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Proponente</w:t>
      </w:r>
      <w:r w:rsidR="00D15AEA" w:rsidRPr="00FB117E">
        <w:rPr>
          <w:rFonts w:ascii="Arial" w:hAnsi="Arial" w:cs="Arial"/>
          <w:b/>
          <w:bCs/>
        </w:rPr>
        <w:t xml:space="preserve">: </w:t>
      </w:r>
      <w:r w:rsidR="00067F90" w:rsidRPr="001315A8">
        <w:rPr>
          <w:rFonts w:ascii="Arial" w:hAnsi="Arial" w:cs="Arial"/>
          <w:b/>
          <w:bCs/>
        </w:rPr>
        <w:t xml:space="preserve">VEREADOR </w:t>
      </w:r>
      <w:r w:rsidR="00242ACC">
        <w:rPr>
          <w:rFonts w:ascii="Arial" w:hAnsi="Arial" w:cs="Arial"/>
          <w:b/>
          <w:bCs/>
        </w:rPr>
        <w:t>GABRIEL RODRIGUES</w:t>
      </w:r>
      <w:r w:rsidR="00577962">
        <w:rPr>
          <w:rFonts w:ascii="Arial" w:hAnsi="Arial" w:cs="Arial"/>
          <w:b/>
          <w:bCs/>
        </w:rPr>
        <w:t xml:space="preserve"> </w:t>
      </w:r>
      <w:r w:rsidR="00B47A48" w:rsidRPr="001315A8">
        <w:rPr>
          <w:rFonts w:ascii="Arial" w:hAnsi="Arial" w:cs="Arial"/>
          <w:b/>
          <w:bCs/>
        </w:rPr>
        <w:t>(</w:t>
      </w:r>
      <w:r w:rsidR="00577962">
        <w:rPr>
          <w:rFonts w:ascii="Arial" w:hAnsi="Arial" w:cs="Arial"/>
          <w:b/>
          <w:bCs/>
        </w:rPr>
        <w:t>P</w:t>
      </w:r>
      <w:r w:rsidR="00242ACC">
        <w:rPr>
          <w:rFonts w:ascii="Arial" w:hAnsi="Arial" w:cs="Arial"/>
          <w:b/>
          <w:bCs/>
        </w:rPr>
        <w:t>P</w:t>
      </w:r>
      <w:r w:rsidR="00B47A48" w:rsidRPr="001315A8">
        <w:rPr>
          <w:rFonts w:ascii="Arial" w:hAnsi="Arial" w:cs="Arial"/>
          <w:b/>
          <w:bCs/>
        </w:rPr>
        <w:t>)</w:t>
      </w:r>
    </w:p>
    <w:p w14:paraId="07020099" w14:textId="77777777" w:rsidR="00246DBC" w:rsidRPr="00E52923" w:rsidRDefault="00246DBC" w:rsidP="00FB117E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9A72116" w14:textId="520F1219" w:rsidR="00242ACC" w:rsidRPr="00F0243C" w:rsidRDefault="00242ACC" w:rsidP="00242AC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0243C">
        <w:rPr>
          <w:rFonts w:ascii="Arial" w:hAnsi="Arial" w:cs="Arial"/>
          <w:b/>
          <w:bCs/>
          <w:u w:val="single"/>
        </w:rPr>
        <w:t>RELATÓRIO</w:t>
      </w:r>
    </w:p>
    <w:p w14:paraId="65980230" w14:textId="77777777" w:rsidR="00242ACC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A5E459B" w14:textId="5B3A93DF" w:rsidR="00FE7501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O expediente versa sobre proposição subscrita por </w:t>
      </w:r>
      <w:r>
        <w:rPr>
          <w:rFonts w:ascii="Arial" w:hAnsi="Arial" w:cs="Arial"/>
          <w:sz w:val="22"/>
          <w:szCs w:val="22"/>
        </w:rPr>
        <w:t>V</w:t>
      </w:r>
      <w:r w:rsidRPr="00242ACC">
        <w:rPr>
          <w:rFonts w:ascii="Arial" w:hAnsi="Arial" w:cs="Arial"/>
          <w:sz w:val="22"/>
          <w:szCs w:val="22"/>
        </w:rPr>
        <w:t>ereador com assento nesta nobre Casa Legislativa, que solicita aprovação do colendo Plenário para Projeto de Lei que</w:t>
      </w:r>
      <w:r>
        <w:rPr>
          <w:rFonts w:ascii="Arial" w:hAnsi="Arial" w:cs="Arial"/>
          <w:sz w:val="22"/>
          <w:szCs w:val="22"/>
        </w:rPr>
        <w:t>:</w:t>
      </w:r>
      <w:r w:rsidRPr="00242ACC">
        <w:rPr>
          <w:rFonts w:ascii="Arial" w:hAnsi="Arial" w:cs="Arial"/>
          <w:sz w:val="22"/>
          <w:szCs w:val="22"/>
        </w:rPr>
        <w:t xml:space="preserve"> </w:t>
      </w:r>
      <w:r w:rsidRPr="00242ACC">
        <w:rPr>
          <w:rFonts w:ascii="Arial" w:hAnsi="Arial" w:cs="Arial"/>
          <w:b/>
          <w:bCs/>
          <w:sz w:val="22"/>
          <w:szCs w:val="22"/>
        </w:rPr>
        <w:t>“</w:t>
      </w: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Institui a Semana Municipal das Artes Marciais e Esportes de Luta e o Dia Municipal do Taekwondo no âmbito do Município de Sapucaia do Sul e dá outras providências</w:t>
      </w:r>
      <w:r w:rsidRPr="00242ACC">
        <w:rPr>
          <w:rFonts w:ascii="Arial" w:hAnsi="Arial" w:cs="Arial"/>
          <w:b/>
          <w:bCs/>
          <w:sz w:val="22"/>
          <w:szCs w:val="22"/>
        </w:rPr>
        <w:t>.”.</w:t>
      </w:r>
    </w:p>
    <w:p w14:paraId="460466D2" w14:textId="77777777" w:rsid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15D0E5E2" w14:textId="7D11036E" w:rsidR="00FE7501" w:rsidRPr="00242ACC" w:rsidRDefault="00FE7501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Breve é o relatório.</w:t>
      </w:r>
    </w:p>
    <w:p w14:paraId="427006C7" w14:textId="6FB04FA1" w:rsidR="00246DBC" w:rsidRPr="00242ACC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242ACC">
        <w:rPr>
          <w:rFonts w:ascii="Arial" w:hAnsi="Arial" w:cs="Arial"/>
          <w:b/>
          <w:bCs/>
          <w:u w:val="single"/>
        </w:rPr>
        <w:t>PARECER</w:t>
      </w:r>
    </w:p>
    <w:p w14:paraId="15438808" w14:textId="66001736" w:rsidR="00633015" w:rsidRDefault="00633015" w:rsidP="00246DBC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1A067700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 fixação de datas comemorativas e eventos públicos em âmbito municipal está inserida no contexto da autonomia política de que os Municípios dispõem para legislar sobre assuntos de interesse local, e de suplementar a legislação federal e estadual no que couber (art. 30, I e II da CF88). </w:t>
      </w:r>
    </w:p>
    <w:p w14:paraId="4FF775F4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7F861B8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Na Lei Orgânica Municipal: </w:t>
      </w:r>
    </w:p>
    <w:p w14:paraId="05AB3C5A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7446ED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7º Ao Município compete prover tudo quanto diga respeito ao seu peculiar interesse e ao bem-estar de sua população, cabendo-lhe, privativamente, dentre outras, as seguintes atribuições: </w:t>
      </w:r>
    </w:p>
    <w:p w14:paraId="1A65711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2C875141" w14:textId="175E5EBF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legislar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sobre assuntos de interesse local</w:t>
      </w:r>
    </w:p>
    <w:p w14:paraId="15676EBE" w14:textId="17F26754" w:rsid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2EB8E617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 respeito do poder de iniciativa parlamentar, os artigos 60, inciso II, alínea “d”, 82, incisos III e VII, ambos da Constituição Estadual, combinados com os artigos 61, §1º, II, “b”, e 84, III, da Constituição Federal, impossibilitam que o Poder Legislativo instaure processo </w:t>
      </w:r>
      <w:r w:rsidRPr="00242ACC">
        <w:rPr>
          <w:rFonts w:ascii="Arial" w:hAnsi="Arial" w:cs="Arial"/>
          <w:sz w:val="22"/>
          <w:szCs w:val="22"/>
        </w:rPr>
        <w:lastRenderedPageBreak/>
        <w:t xml:space="preserve">estabelecendo ou modificando estruturas, atribuições ou funcionamento da administração pública municipal. Ou seja, são hipóteses de iniciativa reservada ao Prefeito Municipal. </w:t>
      </w:r>
    </w:p>
    <w:p w14:paraId="24DE11E0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EC2B56E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Transcrevemos: </w:t>
      </w:r>
    </w:p>
    <w:p w14:paraId="16C944F9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21D128E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60. São de iniciativa privativa do Governador do Estado as leis que: </w:t>
      </w:r>
    </w:p>
    <w:p w14:paraId="04495B8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2D6D2F4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(...) II - disponham sobre: </w:t>
      </w:r>
    </w:p>
    <w:p w14:paraId="2EBDBBFD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F684ED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(...) </w:t>
      </w:r>
    </w:p>
    <w:p w14:paraId="667B244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1588427D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d) criação, estruturação e atribuições das Secretarias e órgãos da administração pública. </w:t>
      </w:r>
    </w:p>
    <w:p w14:paraId="5F3ED72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E698AF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82. Compete ao Governador, privativamente: </w:t>
      </w:r>
    </w:p>
    <w:p w14:paraId="6FAEE01A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CEC4EF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exercer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, com o auxílio dos Secretários de Estado, a direção superior da administração estadual; </w:t>
      </w:r>
    </w:p>
    <w:p w14:paraId="697BDF14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VII - dispor sobre a organização e o funcionamento da administração estadual; </w:t>
      </w:r>
    </w:p>
    <w:p w14:paraId="7172038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60EB098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61. A iniciativa das leis complementares e ordinárias cabe a qualquer membro ou Comissão da Câmara dos Deputados, do Senado Federal ou do Congresso Nacional, ao Presidente da República, ao Supremo Tribunal Federal, aos Tribunais Superiores, ao Procurador-Geral da República e aos cidadãos, na forma e nos casos previstos nesta Constituição. </w:t>
      </w:r>
    </w:p>
    <w:p w14:paraId="4972CCBE" w14:textId="37C0FD9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>§ 1º São de iniciativa privativa do Presidente da República as leis que: (...)</w:t>
      </w:r>
    </w:p>
    <w:p w14:paraId="01CD4E32" w14:textId="3C3D7A74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74803C02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disponham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sobre: </w:t>
      </w:r>
    </w:p>
    <w:p w14:paraId="4E99330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a) criação de cargos, funções ou empregos públicos na administração direta e autárquica ou aumento de sua remuneração; </w:t>
      </w:r>
    </w:p>
    <w:p w14:paraId="724CA7A8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lastRenderedPageBreak/>
        <w:t>b) organização administrativa e judiciária, matéria tributária e orçamentária, serviços públicos e pessoal da administração dos Territórios;</w:t>
      </w:r>
    </w:p>
    <w:p w14:paraId="0E08AAF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3814FE1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 Art. 84. Compete privativamente ao Presidente da República: </w:t>
      </w:r>
    </w:p>
    <w:p w14:paraId="7F842BBA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1ED0050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nomear e exonerar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os Ministros de Estado; </w:t>
      </w:r>
    </w:p>
    <w:p w14:paraId="7138F4A1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exercer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, com o auxílio dos Ministros de Estado, a direção superior da administração federal; </w:t>
      </w:r>
    </w:p>
    <w:p w14:paraId="7AE7960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III - iniciar o processo legislativo, na forma e nos casos previstos nesta Constituição; </w:t>
      </w:r>
    </w:p>
    <w:p w14:paraId="0601209E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AF8D1BB" w14:textId="21744ED6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No âmbito municipal, as hipóteses de competência privativa do Prefeito são assim definidas pela Lei Orgânica: </w:t>
      </w:r>
    </w:p>
    <w:p w14:paraId="2E77F82F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48610BF8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55 Compete, privativamente ao Prefeito, a iniciativa de projetos de lei que disponham sobre: </w:t>
      </w:r>
    </w:p>
    <w:p w14:paraId="196E81D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criação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de cargos, funções ou empregos públicos na administração direta e indireta do Poder Executivo, ou aumento de sua remuneração; </w:t>
      </w:r>
    </w:p>
    <w:p w14:paraId="0D468C0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servidores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públicos do Poder Executivo, seu regime jurídico e provimento de cargos; </w:t>
      </w:r>
    </w:p>
    <w:p w14:paraId="04B306F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III - criação, estruturação e atribuições das Secretarias Municipais e órgãos da Administração Pública Municipal; </w:t>
      </w:r>
    </w:p>
    <w:p w14:paraId="1D8F8704" w14:textId="66772AD4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IV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proposições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que geram despesas ou que comprometam receitas do Município.</w:t>
      </w:r>
    </w:p>
    <w:p w14:paraId="3D374DA5" w14:textId="6320216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431585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56. Não serão admitidas emendas que aumentem a despesa nos projetos de leis de iniciativa exclusiva do Prefeito, nem nos projetos de resolução que versem sobre a organização dos serviços administrativos da Câmara Municipal. </w:t>
      </w:r>
    </w:p>
    <w:p w14:paraId="1A109AFA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2AE522B" w14:textId="73A439EA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A</w:t>
      </w:r>
      <w:r w:rsidRPr="00242ACC">
        <w:rPr>
          <w:rFonts w:ascii="Arial" w:hAnsi="Arial" w:cs="Arial"/>
          <w:sz w:val="22"/>
          <w:szCs w:val="22"/>
        </w:rPr>
        <w:t xml:space="preserve"> proposição recebeu </w:t>
      </w:r>
      <w:r w:rsidRPr="00242ACC">
        <w:rPr>
          <w:rFonts w:ascii="Arial" w:hAnsi="Arial" w:cs="Arial"/>
          <w:sz w:val="22"/>
          <w:szCs w:val="22"/>
        </w:rPr>
        <w:t xml:space="preserve">duas </w:t>
      </w:r>
      <w:r w:rsidRPr="00242ACC">
        <w:rPr>
          <w:rFonts w:ascii="Arial" w:hAnsi="Arial" w:cs="Arial"/>
          <w:sz w:val="22"/>
          <w:szCs w:val="22"/>
        </w:rPr>
        <w:t>emenda</w:t>
      </w:r>
      <w:r w:rsidRPr="00242ACC">
        <w:rPr>
          <w:rFonts w:ascii="Arial" w:hAnsi="Arial" w:cs="Arial"/>
          <w:sz w:val="22"/>
          <w:szCs w:val="22"/>
        </w:rPr>
        <w:t>s</w:t>
      </w:r>
      <w:r w:rsidRPr="00242ACC">
        <w:rPr>
          <w:rFonts w:ascii="Arial" w:hAnsi="Arial" w:cs="Arial"/>
          <w:sz w:val="22"/>
          <w:szCs w:val="22"/>
        </w:rPr>
        <w:t xml:space="preserve"> por parte da Exm</w:t>
      </w:r>
      <w:r w:rsidRPr="00242ACC">
        <w:rPr>
          <w:rFonts w:ascii="Arial" w:hAnsi="Arial" w:cs="Arial"/>
          <w:sz w:val="22"/>
          <w:szCs w:val="22"/>
        </w:rPr>
        <w:t>o</w:t>
      </w:r>
      <w:r w:rsidRPr="00242ACC">
        <w:rPr>
          <w:rFonts w:ascii="Arial" w:hAnsi="Arial" w:cs="Arial"/>
          <w:sz w:val="22"/>
          <w:szCs w:val="22"/>
        </w:rPr>
        <w:t xml:space="preserve">. Vereador Autor, </w:t>
      </w:r>
      <w:r w:rsidRPr="00242ACC">
        <w:rPr>
          <w:rFonts w:ascii="Arial" w:hAnsi="Arial" w:cs="Arial"/>
          <w:sz w:val="22"/>
          <w:szCs w:val="22"/>
        </w:rPr>
        <w:t>o</w:t>
      </w:r>
      <w:r w:rsidRPr="00242ACC">
        <w:rPr>
          <w:rFonts w:ascii="Arial" w:hAnsi="Arial" w:cs="Arial"/>
          <w:sz w:val="22"/>
          <w:szCs w:val="22"/>
        </w:rPr>
        <w:t xml:space="preserve"> qual teve por escopo alterar a redação do art. 3º do projeto de lei</w:t>
      </w:r>
      <w:r w:rsidRPr="00242ACC">
        <w:rPr>
          <w:rFonts w:ascii="Arial" w:hAnsi="Arial" w:cs="Arial"/>
          <w:sz w:val="22"/>
          <w:szCs w:val="22"/>
        </w:rPr>
        <w:t xml:space="preserve"> e suprimir o art. 4º</w:t>
      </w:r>
      <w:r w:rsidRPr="00242ACC">
        <w:rPr>
          <w:rFonts w:ascii="Arial" w:hAnsi="Arial" w:cs="Arial"/>
          <w:sz w:val="22"/>
          <w:szCs w:val="22"/>
        </w:rPr>
        <w:t xml:space="preserve">, de modo que nenhuma das matérias que poderiam ensejar reserva de iniciativa ao Chefe do Poder Executivo (aplicáveis ao município pelo princípio da simetria) restaram no corpo da proposição </w:t>
      </w:r>
      <w:r w:rsidRPr="00242ACC">
        <w:rPr>
          <w:rFonts w:ascii="Arial" w:hAnsi="Arial" w:cs="Arial"/>
          <w:sz w:val="22"/>
          <w:szCs w:val="22"/>
        </w:rPr>
        <w:lastRenderedPageBreak/>
        <w:t>(o projeto não cria, extingue ou modifica órgão administrativo e não confere nova atribuição a órgão da administração pública. Logo, nada consta do projeto que venha exigir iniciativa legislativa do Prefeito Municipal.</w:t>
      </w:r>
    </w:p>
    <w:p w14:paraId="2D823550" w14:textId="7743FB20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C56215A" w14:textId="7147AE8C"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que ora se vislumbra, o presente Projeto de Lei Legislativo reúne condições de tramitação, haja vista que não há qualquer óbice jurídico ou legal para o seu prosseguimento às Comissões pertinentes.</w:t>
      </w:r>
    </w:p>
    <w:p w14:paraId="1225B86D" w14:textId="77777777"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FCCE3C" w14:textId="6F4A582D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Finalmente, anotamos que a deliberação pelo plenário da nobre Casa Legislativa deve ser precedida da manifestação da Comissão de </w:t>
      </w:r>
      <w:r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 w:rsidRPr="00242ACC">
        <w:rPr>
          <w:rFonts w:ascii="Arial" w:hAnsi="Arial" w:cs="Arial"/>
          <w:sz w:val="22"/>
          <w:szCs w:val="22"/>
        </w:rPr>
        <w:t xml:space="preserve">, por ser condição de tramitação do processo legislativo para todas as proposições em geral: </w:t>
      </w:r>
    </w:p>
    <w:p w14:paraId="50417B89" w14:textId="77777777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i/>
          <w:iCs/>
          <w:sz w:val="22"/>
          <w:szCs w:val="22"/>
        </w:rPr>
      </w:pPr>
    </w:p>
    <w:p w14:paraId="55356FB2" w14:textId="77777777" w:rsidR="006440A3" w:rsidRPr="00242ACC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14:paraId="7C12DDEE" w14:textId="77777777" w:rsidR="00F0243C" w:rsidRDefault="00F0243C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E472397" w14:textId="380D94D1" w:rsidR="006440A3" w:rsidRPr="00F0243C" w:rsidRDefault="006440A3" w:rsidP="006440A3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0243C">
        <w:rPr>
          <w:rFonts w:ascii="Arial" w:hAnsi="Arial" w:cs="Arial"/>
          <w:b/>
          <w:bCs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5675E1B1" w14:textId="7E0AE6B0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CD5E6E8" w14:textId="1101B830" w:rsidR="00246DBC" w:rsidRPr="00F0243C" w:rsidRDefault="00246DBC" w:rsidP="00E52923">
      <w:pPr>
        <w:spacing w:line="360" w:lineRule="auto"/>
        <w:jc w:val="center"/>
        <w:rPr>
          <w:rFonts w:ascii="Arial" w:hAnsi="Arial" w:cs="Arial"/>
          <w:b/>
          <w:bCs/>
        </w:rPr>
      </w:pPr>
      <w:r w:rsidRPr="00F0243C">
        <w:rPr>
          <w:rFonts w:ascii="Arial" w:hAnsi="Arial" w:cs="Arial"/>
          <w:b/>
          <w:bCs/>
        </w:rPr>
        <w:t>CONSIDERAÇÕES FINAIS</w:t>
      </w:r>
    </w:p>
    <w:p w14:paraId="35085542" w14:textId="77777777" w:rsidR="00246DBC" w:rsidRPr="00242AC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5912396" w14:textId="44316F69" w:rsidR="00633015" w:rsidRPr="00242AC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exposto,</w:t>
      </w:r>
      <w:r w:rsidR="00E52923" w:rsidRPr="00242ACC">
        <w:rPr>
          <w:rFonts w:ascii="Arial" w:hAnsi="Arial" w:cs="Arial"/>
          <w:sz w:val="22"/>
          <w:szCs w:val="22"/>
        </w:rPr>
        <w:t xml:space="preserve"> em conformidade com os fundamentos normativos acima apresentados, encaminhamos o expediente para prosseguimento </w:t>
      </w:r>
      <w:r w:rsidR="00E52923" w:rsidRPr="00242ACC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tramitação.</w:t>
      </w:r>
      <w:r w:rsidR="00E52923" w:rsidRPr="00242ACC">
        <w:rPr>
          <w:rFonts w:ascii="Arial" w:hAnsi="Arial" w:cs="Arial"/>
          <w:sz w:val="22"/>
          <w:szCs w:val="22"/>
        </w:rPr>
        <w:t xml:space="preserve"> Ressaltamos, como de costume, que o presente parecer tem natureza opinativa, </w:t>
      </w:r>
      <w:r w:rsidRPr="00242ACC">
        <w:rPr>
          <w:rFonts w:ascii="Arial" w:hAnsi="Arial" w:cs="Arial"/>
          <w:sz w:val="22"/>
          <w:szCs w:val="22"/>
        </w:rPr>
        <w:t>por si só,</w:t>
      </w:r>
      <w:r w:rsidR="00E52923" w:rsidRPr="00242ACC">
        <w:rPr>
          <w:rFonts w:ascii="Arial" w:hAnsi="Arial" w:cs="Arial"/>
          <w:sz w:val="22"/>
          <w:szCs w:val="22"/>
        </w:rPr>
        <w:t xml:space="preserve"> e não vincula a decisão e</w:t>
      </w:r>
      <w:r w:rsidRPr="00242ACC">
        <w:rPr>
          <w:rFonts w:ascii="Arial" w:hAnsi="Arial" w:cs="Arial"/>
          <w:sz w:val="22"/>
          <w:szCs w:val="22"/>
        </w:rPr>
        <w:t xml:space="preserve"> a manifestação das comissões permanentes</w:t>
      </w:r>
      <w:r w:rsidR="006440A3" w:rsidRPr="00242ACC">
        <w:rPr>
          <w:rFonts w:ascii="Arial" w:hAnsi="Arial" w:cs="Arial"/>
          <w:sz w:val="22"/>
          <w:szCs w:val="22"/>
        </w:rPr>
        <w:t xml:space="preserve"> (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LEGISLAÇÃO E JUSTIÇA)</w:t>
      </w:r>
      <w:r w:rsidR="00E52923" w:rsidRPr="00242ACC">
        <w:rPr>
          <w:rFonts w:ascii="Arial" w:hAnsi="Arial" w:cs="Arial"/>
          <w:sz w:val="22"/>
          <w:szCs w:val="22"/>
        </w:rPr>
        <w:t>, sendo</w:t>
      </w:r>
      <w:r w:rsidRPr="00242ACC">
        <w:rPr>
          <w:rFonts w:ascii="Arial" w:hAnsi="Arial" w:cs="Arial"/>
          <w:sz w:val="22"/>
          <w:szCs w:val="22"/>
        </w:rPr>
        <w:t xml:space="preserve"> assegurada a soberania do Plenário</w:t>
      </w:r>
      <w:r w:rsidR="00E52923" w:rsidRPr="00242ACC">
        <w:rPr>
          <w:rFonts w:ascii="Arial" w:hAnsi="Arial" w:cs="Arial"/>
          <w:sz w:val="22"/>
          <w:szCs w:val="22"/>
        </w:rPr>
        <w:t>.</w:t>
      </w:r>
      <w:r w:rsidRPr="00242ACC">
        <w:rPr>
          <w:rFonts w:ascii="Arial" w:hAnsi="Arial" w:cs="Arial"/>
          <w:sz w:val="22"/>
          <w:szCs w:val="22"/>
        </w:rPr>
        <w:t xml:space="preserve"> </w:t>
      </w:r>
    </w:p>
    <w:p w14:paraId="058C7718" w14:textId="3C0F1991" w:rsidR="00FB117E" w:rsidRPr="00242ACC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Assim, esta </w:t>
      </w:r>
      <w:r w:rsidR="00246DBC" w:rsidRPr="00242ACC">
        <w:rPr>
          <w:rFonts w:ascii="Arial" w:hAnsi="Arial" w:cs="Arial"/>
          <w:sz w:val="22"/>
          <w:szCs w:val="22"/>
        </w:rPr>
        <w:t>Procuradoria opina pela legalidade e regular tramitação do Projeto de Lei, por inexistirem vícios materiais ou formais que impeçam a sua deliberação em Plenário.</w:t>
      </w:r>
    </w:p>
    <w:p w14:paraId="0B02E69B" w14:textId="6D7C0FC9" w:rsidR="00D15AEA" w:rsidRPr="00242ACC" w:rsidRDefault="00F0243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242ACC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242ACC">
        <w:rPr>
          <w:rFonts w:ascii="Arial" w:hAnsi="Arial" w:cs="Arial"/>
          <w:sz w:val="22"/>
          <w:szCs w:val="22"/>
        </w:rPr>
        <w:t>Diretoria Legislativa</w:t>
      </w:r>
      <w:r w:rsidR="00FB117E" w:rsidRPr="00242ACC">
        <w:rPr>
          <w:rFonts w:ascii="Arial" w:hAnsi="Arial" w:cs="Arial"/>
          <w:sz w:val="22"/>
          <w:szCs w:val="22"/>
        </w:rPr>
        <w:t xml:space="preserve"> para as </w:t>
      </w:r>
      <w:r w:rsidR="006440A3" w:rsidRPr="00242ACC">
        <w:rPr>
          <w:rFonts w:ascii="Arial" w:hAnsi="Arial" w:cs="Arial"/>
          <w:sz w:val="22"/>
          <w:szCs w:val="22"/>
        </w:rPr>
        <w:t>devidas diligências</w:t>
      </w:r>
      <w:r w:rsidR="00FB117E" w:rsidRPr="00242ACC">
        <w:rPr>
          <w:rFonts w:ascii="Arial" w:hAnsi="Arial" w:cs="Arial"/>
          <w:sz w:val="22"/>
          <w:szCs w:val="22"/>
        </w:rPr>
        <w:t>.</w:t>
      </w:r>
    </w:p>
    <w:p w14:paraId="1B3C8FD7" w14:textId="77777777" w:rsidR="00F0243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14:paraId="3053CB1F" w14:textId="4B767A3F" w:rsidR="00C10581" w:rsidRPr="00242ACC" w:rsidRDefault="006440A3" w:rsidP="002757CD">
      <w:pPr>
        <w:jc w:val="center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Parecer exarado em </w:t>
      </w:r>
      <w:r w:rsidR="002757CD" w:rsidRPr="00242ACC">
        <w:rPr>
          <w:rFonts w:ascii="Arial" w:hAnsi="Arial" w:cs="Arial"/>
          <w:sz w:val="22"/>
          <w:szCs w:val="22"/>
        </w:rPr>
        <w:t>2</w:t>
      </w:r>
      <w:r w:rsidR="00FE7501" w:rsidRPr="00242ACC">
        <w:rPr>
          <w:rFonts w:ascii="Arial" w:hAnsi="Arial" w:cs="Arial"/>
          <w:sz w:val="22"/>
          <w:szCs w:val="22"/>
        </w:rPr>
        <w:t>7</w:t>
      </w:r>
      <w:r w:rsidR="002D0365" w:rsidRPr="00242ACC">
        <w:rPr>
          <w:rFonts w:ascii="Arial" w:hAnsi="Arial" w:cs="Arial"/>
          <w:sz w:val="22"/>
          <w:szCs w:val="22"/>
        </w:rPr>
        <w:t xml:space="preserve"> </w:t>
      </w:r>
      <w:r w:rsidR="00C10581" w:rsidRPr="00242ACC">
        <w:rPr>
          <w:rFonts w:ascii="Arial" w:hAnsi="Arial" w:cs="Arial"/>
          <w:sz w:val="22"/>
          <w:szCs w:val="22"/>
        </w:rPr>
        <w:t xml:space="preserve">de </w:t>
      </w:r>
      <w:proofErr w:type="gramStart"/>
      <w:r w:rsidR="002757CD" w:rsidRPr="00242ACC">
        <w:rPr>
          <w:rFonts w:ascii="Arial" w:hAnsi="Arial" w:cs="Arial"/>
          <w:sz w:val="22"/>
          <w:szCs w:val="22"/>
        </w:rPr>
        <w:t>Outubr</w:t>
      </w:r>
      <w:r w:rsidR="00D15AEA" w:rsidRPr="00242ACC">
        <w:rPr>
          <w:rFonts w:ascii="Arial" w:hAnsi="Arial" w:cs="Arial"/>
          <w:sz w:val="22"/>
          <w:szCs w:val="22"/>
        </w:rPr>
        <w:t>o</w:t>
      </w:r>
      <w:proofErr w:type="gramEnd"/>
      <w:r w:rsidR="004C3BCE" w:rsidRPr="00242ACC">
        <w:rPr>
          <w:rFonts w:ascii="Arial" w:hAnsi="Arial" w:cs="Arial"/>
          <w:sz w:val="22"/>
          <w:szCs w:val="22"/>
        </w:rPr>
        <w:t xml:space="preserve"> de</w:t>
      </w:r>
      <w:r w:rsidR="007D5945" w:rsidRPr="00242ACC">
        <w:rPr>
          <w:rFonts w:ascii="Arial" w:hAnsi="Arial" w:cs="Arial"/>
          <w:sz w:val="22"/>
          <w:szCs w:val="22"/>
        </w:rPr>
        <w:t xml:space="preserve"> 20</w:t>
      </w:r>
      <w:r w:rsidR="004C3BCE" w:rsidRPr="00242ACC">
        <w:rPr>
          <w:rFonts w:ascii="Arial" w:hAnsi="Arial" w:cs="Arial"/>
          <w:sz w:val="22"/>
          <w:szCs w:val="22"/>
        </w:rPr>
        <w:t>2</w:t>
      </w:r>
      <w:r w:rsidR="00F03FD2" w:rsidRPr="00242ACC">
        <w:rPr>
          <w:rFonts w:ascii="Arial" w:hAnsi="Arial" w:cs="Arial"/>
          <w:sz w:val="22"/>
          <w:szCs w:val="22"/>
        </w:rPr>
        <w:t>1</w:t>
      </w:r>
      <w:r w:rsidR="005C7BE4" w:rsidRPr="00242ACC">
        <w:rPr>
          <w:rFonts w:ascii="Arial" w:hAnsi="Arial" w:cs="Arial"/>
          <w:sz w:val="22"/>
          <w:szCs w:val="22"/>
        </w:rPr>
        <w:t>.</w:t>
      </w:r>
    </w:p>
    <w:p w14:paraId="69F3C731" w14:textId="7D66F37C" w:rsidR="006440A3" w:rsidRDefault="006440A3" w:rsidP="002757CD">
      <w:pPr>
        <w:jc w:val="center"/>
        <w:rPr>
          <w:rFonts w:ascii="Arial" w:hAnsi="Arial" w:cs="Arial"/>
          <w:sz w:val="22"/>
          <w:szCs w:val="22"/>
        </w:rPr>
      </w:pPr>
    </w:p>
    <w:p w14:paraId="7197C7B7" w14:textId="77777777" w:rsidR="00F0243C" w:rsidRPr="00242AC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14:paraId="4860ECD7" w14:textId="77777777"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14:paraId="322D972D" w14:textId="6B9889EA" w:rsidR="009B4347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242ACC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37C60" w14:textId="77777777" w:rsidR="002378B9" w:rsidRDefault="002378B9" w:rsidP="00794EBB">
      <w:r>
        <w:separator/>
      </w:r>
    </w:p>
  </w:endnote>
  <w:endnote w:type="continuationSeparator" w:id="0">
    <w:p w14:paraId="3F98E5A3" w14:textId="77777777" w:rsidR="002378B9" w:rsidRDefault="002378B9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23496" w14:textId="77777777" w:rsidR="002378B9" w:rsidRDefault="002378B9" w:rsidP="00794EBB">
      <w:r w:rsidRPr="00794EBB">
        <w:rPr>
          <w:color w:val="000000"/>
        </w:rPr>
        <w:separator/>
      </w:r>
    </w:p>
  </w:footnote>
  <w:footnote w:type="continuationSeparator" w:id="0">
    <w:p w14:paraId="041E0FF0" w14:textId="77777777" w:rsidR="002378B9" w:rsidRDefault="002378B9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2378B9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6832601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67F90"/>
    <w:rsid w:val="00070C98"/>
    <w:rsid w:val="00070F53"/>
    <w:rsid w:val="000739A0"/>
    <w:rsid w:val="00081B38"/>
    <w:rsid w:val="000C5354"/>
    <w:rsid w:val="001164F5"/>
    <w:rsid w:val="0012637D"/>
    <w:rsid w:val="001315A8"/>
    <w:rsid w:val="00175AE1"/>
    <w:rsid w:val="00186DD0"/>
    <w:rsid w:val="001939D7"/>
    <w:rsid w:val="001A32DF"/>
    <w:rsid w:val="001C1D5C"/>
    <w:rsid w:val="001D4C18"/>
    <w:rsid w:val="001F38CD"/>
    <w:rsid w:val="00217007"/>
    <w:rsid w:val="002378B9"/>
    <w:rsid w:val="00242ACC"/>
    <w:rsid w:val="00246DBC"/>
    <w:rsid w:val="002565A9"/>
    <w:rsid w:val="0026035C"/>
    <w:rsid w:val="00261837"/>
    <w:rsid w:val="00263AFE"/>
    <w:rsid w:val="002678B6"/>
    <w:rsid w:val="002757CD"/>
    <w:rsid w:val="00277D61"/>
    <w:rsid w:val="00282865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77962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1F15"/>
    <w:rsid w:val="00612EA4"/>
    <w:rsid w:val="00614230"/>
    <w:rsid w:val="00633015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92606"/>
    <w:rsid w:val="00AA4ECD"/>
    <w:rsid w:val="00AD0E04"/>
    <w:rsid w:val="00AD6464"/>
    <w:rsid w:val="00AF4FB1"/>
    <w:rsid w:val="00B11EAA"/>
    <w:rsid w:val="00B30D2C"/>
    <w:rsid w:val="00B41BB3"/>
    <w:rsid w:val="00B47A48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54F3A"/>
    <w:rsid w:val="00D70828"/>
    <w:rsid w:val="00D8385E"/>
    <w:rsid w:val="00D920CC"/>
    <w:rsid w:val="00DB1E1F"/>
    <w:rsid w:val="00DC743A"/>
    <w:rsid w:val="00E52923"/>
    <w:rsid w:val="00E54CCE"/>
    <w:rsid w:val="00E555A6"/>
    <w:rsid w:val="00E6321F"/>
    <w:rsid w:val="00E671E5"/>
    <w:rsid w:val="00EA7BDF"/>
    <w:rsid w:val="00EC571E"/>
    <w:rsid w:val="00F0243C"/>
    <w:rsid w:val="00F03FD2"/>
    <w:rsid w:val="00F07273"/>
    <w:rsid w:val="00F172D2"/>
    <w:rsid w:val="00F444B1"/>
    <w:rsid w:val="00F5601E"/>
    <w:rsid w:val="00F8303B"/>
    <w:rsid w:val="00FA1956"/>
    <w:rsid w:val="00FA1A7C"/>
    <w:rsid w:val="00FA7DAE"/>
    <w:rsid w:val="00FB117E"/>
    <w:rsid w:val="00FD5BB7"/>
    <w:rsid w:val="00FE7501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label">
    <w:name w:val="label"/>
    <w:basedOn w:val="Fontepargpadro"/>
    <w:rsid w:val="00A92606"/>
  </w:style>
  <w:style w:type="character" w:customStyle="1" w:styleId="4CorpoChar">
    <w:name w:val="4.Corpo Char"/>
    <w:link w:val="4Corpo"/>
    <w:locked/>
    <w:rsid w:val="001315A8"/>
    <w:rPr>
      <w:rFonts w:ascii="Tw Cen MT" w:eastAsia="Times New Roman" w:hAnsi="Tw Cen MT"/>
      <w:bCs/>
      <w:kern w:val="28"/>
      <w:sz w:val="28"/>
      <w:szCs w:val="28"/>
    </w:rPr>
  </w:style>
  <w:style w:type="paragraph" w:customStyle="1" w:styleId="4Corpo">
    <w:name w:val="4.Corpo"/>
    <w:basedOn w:val="Normal"/>
    <w:link w:val="4CorpoChar"/>
    <w:qFormat/>
    <w:rsid w:val="001315A8"/>
    <w:pPr>
      <w:suppressAutoHyphens w:val="0"/>
      <w:autoSpaceDN/>
      <w:spacing w:after="120" w:line="360" w:lineRule="auto"/>
      <w:ind w:firstLine="709"/>
      <w:jc w:val="both"/>
      <w:textAlignment w:val="auto"/>
    </w:pPr>
    <w:rPr>
      <w:rFonts w:ascii="Tw Cen MT" w:hAnsi="Tw Cen MT"/>
      <w:bCs/>
      <w:kern w:val="2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978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2021-07-16T15:10:00Z</cp:lastPrinted>
  <dcterms:created xsi:type="dcterms:W3CDTF">2021-10-27T12:37:00Z</dcterms:created>
  <dcterms:modified xsi:type="dcterms:W3CDTF">2021-10-27T12:37:00Z</dcterms:modified>
</cp:coreProperties>
</file>