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AA018" w14:textId="77777777" w:rsidR="005E4763" w:rsidRDefault="00DB4BA8">
      <w:pPr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PLL 081/2021</w:t>
      </w:r>
    </w:p>
    <w:p w14:paraId="2BEC8F7D" w14:textId="77777777" w:rsidR="005E4763" w:rsidRDefault="00DB4BA8">
      <w:pPr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Nº do Processo: 22719</w:t>
      </w:r>
    </w:p>
    <w:p w14:paraId="2D496EED" w14:textId="77777777" w:rsidR="005E4763" w:rsidRDefault="00DB4BA8">
      <w:pPr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Requerente: Ver. Átila Andrade</w:t>
      </w:r>
    </w:p>
    <w:p w14:paraId="75313CA2" w14:textId="77777777" w:rsidR="005E4763" w:rsidRDefault="00DB4BA8">
      <w:pPr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 xml:space="preserve">Tipo de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Proposição:Projeto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de Lei do Legislativo (PLL)</w:t>
      </w:r>
    </w:p>
    <w:p w14:paraId="7CEFF814" w14:textId="77777777" w:rsidR="005E4763" w:rsidRDefault="00DB4BA8">
      <w:pPr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Data de Conclusão à Procuradoria: 21/10/2021</w:t>
      </w:r>
    </w:p>
    <w:p w14:paraId="1D0D0064" w14:textId="77777777" w:rsidR="005E4763" w:rsidRDefault="005E4763">
      <w:pPr>
        <w:jc w:val="both"/>
        <w:rPr>
          <w:rFonts w:ascii="Arial" w:eastAsia="Arial" w:hAnsi="Arial" w:cs="Arial"/>
          <w:b/>
          <w:sz w:val="26"/>
          <w:szCs w:val="26"/>
        </w:rPr>
      </w:pPr>
    </w:p>
    <w:p w14:paraId="16D4D02D" w14:textId="77777777" w:rsidR="005E4763" w:rsidRDefault="005E4763">
      <w:pPr>
        <w:jc w:val="both"/>
        <w:rPr>
          <w:rFonts w:ascii="Arial" w:eastAsia="Arial" w:hAnsi="Arial" w:cs="Arial"/>
          <w:b/>
          <w:sz w:val="26"/>
          <w:szCs w:val="26"/>
        </w:rPr>
      </w:pPr>
    </w:p>
    <w:p w14:paraId="7D430BA3" w14:textId="77777777" w:rsidR="005E4763" w:rsidRDefault="00DB4BA8">
      <w:pPr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RELATÓRIO</w:t>
      </w:r>
    </w:p>
    <w:p w14:paraId="10225C63" w14:textId="77777777" w:rsidR="005E4763" w:rsidRDefault="005E4763">
      <w:pPr>
        <w:jc w:val="both"/>
        <w:rPr>
          <w:rFonts w:ascii="Arial" w:eastAsia="Arial" w:hAnsi="Arial" w:cs="Arial"/>
          <w:b/>
          <w:sz w:val="26"/>
          <w:szCs w:val="26"/>
        </w:rPr>
      </w:pPr>
    </w:p>
    <w:p w14:paraId="113EF24C" w14:textId="77777777" w:rsidR="005E4763" w:rsidRDefault="00DB4BA8">
      <w:pPr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Versa o expediente sobre proposição subscrita por Edil com assento nesta nobre Casa Legislativa, que solicita aprovação do colendo Plenário para Projeto de Lei que dispõe “Regulamenta o previsto no Artigo 54, Parágrafo Único, da Lei Orgânica de Sapucaia do</w:t>
      </w:r>
      <w:r>
        <w:rPr>
          <w:rFonts w:ascii="Arial" w:eastAsia="Arial" w:hAnsi="Arial" w:cs="Arial"/>
          <w:sz w:val="26"/>
          <w:szCs w:val="26"/>
        </w:rPr>
        <w:t xml:space="preserve"> Sul, em consonância com o Artigo 14, inciso III, e dá outras providências”. O processo tramita exclusivamente em formato digital, constam dos autos eletrônicos os seguintes documentos:</w:t>
      </w:r>
    </w:p>
    <w:p w14:paraId="36E20728" w14:textId="77777777" w:rsidR="005E4763" w:rsidRDefault="005E4763">
      <w:pPr>
        <w:jc w:val="both"/>
        <w:rPr>
          <w:rFonts w:ascii="Arial" w:eastAsia="Arial" w:hAnsi="Arial" w:cs="Arial"/>
          <w:b/>
          <w:sz w:val="26"/>
          <w:szCs w:val="26"/>
        </w:rPr>
      </w:pPr>
    </w:p>
    <w:p w14:paraId="18395031" w14:textId="77777777" w:rsidR="005E4763" w:rsidRDefault="00DB4BA8">
      <w:pPr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● 32007 (página única);</w:t>
      </w:r>
    </w:p>
    <w:p w14:paraId="69C6264A" w14:textId="77777777" w:rsidR="005E4763" w:rsidRDefault="00DB4BA8">
      <w:pPr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● 32065 (página única);</w:t>
      </w:r>
    </w:p>
    <w:p w14:paraId="71B7D174" w14:textId="77777777" w:rsidR="005E4763" w:rsidRDefault="005E4763">
      <w:pPr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</w:p>
    <w:p w14:paraId="33EB308C" w14:textId="77777777" w:rsidR="005E4763" w:rsidRDefault="00DB4BA8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PARECER</w:t>
      </w:r>
    </w:p>
    <w:p w14:paraId="60B249CB" w14:textId="77777777" w:rsidR="005E4763" w:rsidRDefault="005E4763">
      <w:pPr>
        <w:rPr>
          <w:rFonts w:ascii="Arial" w:eastAsia="Arial" w:hAnsi="Arial" w:cs="Arial"/>
          <w:sz w:val="26"/>
          <w:szCs w:val="26"/>
        </w:rPr>
      </w:pPr>
    </w:p>
    <w:p w14:paraId="32C5CFE8" w14:textId="77777777" w:rsidR="005E4763" w:rsidRDefault="00DB4BA8">
      <w:pPr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ab/>
        <w:t xml:space="preserve">A matéria </w:t>
      </w:r>
      <w:r>
        <w:rPr>
          <w:rFonts w:ascii="Arial" w:eastAsia="Arial" w:hAnsi="Arial" w:cs="Arial"/>
          <w:sz w:val="26"/>
          <w:szCs w:val="26"/>
        </w:rPr>
        <w:t>tratada diz respeito à regulamentação local do processo legislativo de iniciativa popular, cuja previsão encontra-se no art. 54, parágrafo único da Lei Orgânica Municipal.</w:t>
      </w:r>
    </w:p>
    <w:p w14:paraId="69C5C4FB" w14:textId="77777777" w:rsidR="005E4763" w:rsidRDefault="005E4763">
      <w:pPr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</w:p>
    <w:p w14:paraId="6322B8E2" w14:textId="77777777" w:rsidR="005E4763" w:rsidRDefault="00DB4BA8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Os limites do poder de iniciativa parlamentar são estabelecidos pelos artigos 60, i</w:t>
      </w:r>
      <w:r>
        <w:rPr>
          <w:rFonts w:ascii="Arial" w:eastAsia="Arial" w:hAnsi="Arial" w:cs="Arial"/>
          <w:sz w:val="26"/>
          <w:szCs w:val="26"/>
        </w:rPr>
        <w:t>nciso II, alínea “d”1, 82, incisos. III e VII, ambos da Constituição Estadual, combinados com os artigos 61, §1º, II, “b”, e 84, III, da Constituição Federal, que impossibilitam que o Parlamento instaure processo legislativo estabelecendo ou modificando es</w:t>
      </w:r>
      <w:r>
        <w:rPr>
          <w:rFonts w:ascii="Arial" w:eastAsia="Arial" w:hAnsi="Arial" w:cs="Arial"/>
          <w:sz w:val="26"/>
          <w:szCs w:val="26"/>
        </w:rPr>
        <w:t xml:space="preserve">truturas, atribuições ou funcionamento da administração pública municipal. </w:t>
      </w:r>
    </w:p>
    <w:p w14:paraId="461B9EED" w14:textId="77777777" w:rsidR="005E4763" w:rsidRDefault="005E4763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</w:p>
    <w:p w14:paraId="2CACC85C" w14:textId="77777777" w:rsidR="005E4763" w:rsidRDefault="00DB4BA8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A respeito do poder de iniciativa parlamentar, adotamos em linhas gerais o posicionamento contido no </w:t>
      </w:r>
      <w:r>
        <w:rPr>
          <w:rFonts w:ascii="Arial" w:eastAsia="Arial" w:hAnsi="Arial" w:cs="Arial"/>
          <w:i/>
          <w:sz w:val="26"/>
          <w:szCs w:val="26"/>
        </w:rPr>
        <w:t>decisum</w:t>
      </w:r>
      <w:r>
        <w:rPr>
          <w:rFonts w:ascii="Arial" w:eastAsia="Arial" w:hAnsi="Arial" w:cs="Arial"/>
          <w:sz w:val="26"/>
          <w:szCs w:val="26"/>
        </w:rPr>
        <w:t xml:space="preserve"> que segue, à qual foi atribuída </w:t>
      </w:r>
      <w:r>
        <w:rPr>
          <w:rFonts w:ascii="Arial" w:eastAsia="Arial" w:hAnsi="Arial" w:cs="Arial"/>
          <w:b/>
          <w:sz w:val="26"/>
          <w:szCs w:val="26"/>
          <w:u w:val="single"/>
        </w:rPr>
        <w:t>repercussão geral</w:t>
      </w:r>
      <w:r>
        <w:rPr>
          <w:rFonts w:ascii="Arial" w:eastAsia="Arial" w:hAnsi="Arial" w:cs="Arial"/>
          <w:sz w:val="26"/>
          <w:szCs w:val="26"/>
        </w:rPr>
        <w:t>:</w:t>
      </w:r>
    </w:p>
    <w:p w14:paraId="7B8F383A" w14:textId="77777777" w:rsidR="005E4763" w:rsidRDefault="005E4763">
      <w:pPr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</w:p>
    <w:p w14:paraId="406CFBDC" w14:textId="77777777" w:rsidR="005E4763" w:rsidRDefault="00DB4BA8">
      <w:pPr>
        <w:ind w:left="288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lastRenderedPageBreak/>
        <w:t>Recurso extraordin</w:t>
      </w:r>
      <w:r>
        <w:rPr>
          <w:rFonts w:ascii="Arial" w:eastAsia="Arial" w:hAnsi="Arial" w:cs="Arial"/>
          <w:sz w:val="26"/>
          <w:szCs w:val="26"/>
        </w:rPr>
        <w:t>ário com agravo. Repercussão geral. 2. Ação Direta de Inconstitucionalidade estadual. Lei 5.616/2013, do Município do Rio de Janeiro. Instalação de câmeras de monitoramento em escolas e cercanias. 3. Inconstitucionalidade formal. Vício de iniciativa. Compe</w:t>
      </w:r>
      <w:r>
        <w:rPr>
          <w:rFonts w:ascii="Arial" w:eastAsia="Arial" w:hAnsi="Arial" w:cs="Arial"/>
          <w:sz w:val="26"/>
          <w:szCs w:val="26"/>
        </w:rPr>
        <w:t xml:space="preserve">tência privativa do Poder Executivo municipal. Não ocorrência. </w:t>
      </w:r>
      <w:r>
        <w:rPr>
          <w:rFonts w:ascii="Arial" w:eastAsia="Arial" w:hAnsi="Arial" w:cs="Arial"/>
          <w:b/>
          <w:sz w:val="26"/>
          <w:szCs w:val="26"/>
        </w:rPr>
        <w:t xml:space="preserve">Não usurpa a competência privativa do chefe do Poder Executivo lei que, </w:t>
      </w:r>
      <w:r>
        <w:rPr>
          <w:rFonts w:ascii="Arial" w:eastAsia="Arial" w:hAnsi="Arial" w:cs="Arial"/>
          <w:sz w:val="26"/>
          <w:szCs w:val="26"/>
        </w:rPr>
        <w:t>embora crie despesa para a Administração Pública,</w:t>
      </w:r>
      <w:r>
        <w:rPr>
          <w:rFonts w:ascii="Arial" w:eastAsia="Arial" w:hAnsi="Arial" w:cs="Arial"/>
          <w:b/>
          <w:sz w:val="26"/>
          <w:szCs w:val="26"/>
        </w:rPr>
        <w:t xml:space="preserve"> não trata da sua estrutura ou da atribuição de seus órgãos nem do regim</w:t>
      </w:r>
      <w:r>
        <w:rPr>
          <w:rFonts w:ascii="Arial" w:eastAsia="Arial" w:hAnsi="Arial" w:cs="Arial"/>
          <w:b/>
          <w:sz w:val="26"/>
          <w:szCs w:val="26"/>
        </w:rPr>
        <w:t>e jurídico de servidores públicos.</w:t>
      </w:r>
      <w:r>
        <w:rPr>
          <w:rFonts w:ascii="Arial" w:eastAsia="Arial" w:hAnsi="Arial" w:cs="Arial"/>
          <w:sz w:val="26"/>
          <w:szCs w:val="26"/>
        </w:rPr>
        <w:t xml:space="preserve"> 4. Repercussão geral reconhecida com reafirmação da jurisprudência desta Corte. 5. Recurso extraordinário provido. (ARE 878911 RG, Relator (a): Min. GILMAR MENDES, julgado em 29/09/2016, PROCESSO ELETRÔNICO REPERCUSSÃO GE</w:t>
      </w:r>
      <w:r>
        <w:rPr>
          <w:rFonts w:ascii="Arial" w:eastAsia="Arial" w:hAnsi="Arial" w:cs="Arial"/>
          <w:sz w:val="26"/>
          <w:szCs w:val="26"/>
        </w:rPr>
        <w:t>RAL - MÉRITO DJe-217 DIVULG 10-10-2016 PUBLIC 11-10-</w:t>
      </w:r>
      <w:proofErr w:type="gramStart"/>
      <w:r>
        <w:rPr>
          <w:rFonts w:ascii="Arial" w:eastAsia="Arial" w:hAnsi="Arial" w:cs="Arial"/>
          <w:sz w:val="26"/>
          <w:szCs w:val="26"/>
        </w:rPr>
        <w:t>2016 )</w:t>
      </w:r>
      <w:proofErr w:type="gramEnd"/>
    </w:p>
    <w:p w14:paraId="30070B41" w14:textId="77777777" w:rsidR="005E4763" w:rsidRDefault="005E4763">
      <w:pPr>
        <w:ind w:left="2880" w:firstLine="720"/>
        <w:jc w:val="both"/>
        <w:rPr>
          <w:rFonts w:ascii="Arial" w:eastAsia="Arial" w:hAnsi="Arial" w:cs="Arial"/>
          <w:sz w:val="26"/>
          <w:szCs w:val="26"/>
        </w:rPr>
      </w:pPr>
    </w:p>
    <w:p w14:paraId="19477869" w14:textId="77777777" w:rsidR="005E4763" w:rsidRDefault="00DB4BA8">
      <w:pPr>
        <w:ind w:left="288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(STF - RG ARE: 878911 RJ - RIO DE JANEIRO 0023472-40.2014.8.19.0000, Relator: Min. GILMAR MENDES, Data de Julgamento: 29/09/2016, Tribunal Pleno - meio eletrônico, Data de Publicação: DJe-217 11-10-2016)</w:t>
      </w:r>
    </w:p>
    <w:p w14:paraId="65E305AC" w14:textId="77777777" w:rsidR="005E4763" w:rsidRDefault="005E4763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</w:p>
    <w:p w14:paraId="515D73CC" w14:textId="77777777" w:rsidR="005E4763" w:rsidRDefault="00DB4BA8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Como o projeto de lei em apreço não trata da estrut</w:t>
      </w:r>
      <w:r>
        <w:rPr>
          <w:rFonts w:ascii="Arial" w:eastAsia="Arial" w:hAnsi="Arial" w:cs="Arial"/>
          <w:sz w:val="26"/>
          <w:szCs w:val="26"/>
        </w:rPr>
        <w:t>ura do Poder Executivo, da atribuição de seus órgãos ou do regime jurídico de servidores públicos, e nem tampouco cria despesa para administração, opina-se ao sentido da viabilidade de tramitação da matéria via processo legislativo de iniciativa parlamenta</w:t>
      </w:r>
      <w:r>
        <w:rPr>
          <w:rFonts w:ascii="Arial" w:eastAsia="Arial" w:hAnsi="Arial" w:cs="Arial"/>
          <w:sz w:val="26"/>
          <w:szCs w:val="26"/>
        </w:rPr>
        <w:t>r</w:t>
      </w:r>
    </w:p>
    <w:p w14:paraId="09302A8F" w14:textId="77777777" w:rsidR="005E4763" w:rsidRDefault="00DB4BA8">
      <w:pPr>
        <w:spacing w:before="240" w:line="360" w:lineRule="auto"/>
        <w:ind w:firstLine="7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Por fim, anotamos que a deliberação pelo plenário da nobre Casa Legislativa deve ser precedida da manifestação da Comissão de LEGISLAÇÃO E JUSTIÇA, por ser condição de tramitação do processo legislativo para todas as proposições em geral:</w:t>
      </w:r>
    </w:p>
    <w:p w14:paraId="17DD7470" w14:textId="77777777" w:rsidR="005E4763" w:rsidRDefault="00DB4BA8">
      <w:pPr>
        <w:spacing w:before="240" w:line="276" w:lineRule="auto"/>
        <w:ind w:firstLine="7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</w:t>
      </w:r>
    </w:p>
    <w:p w14:paraId="25C8A0EA" w14:textId="77777777" w:rsidR="005E4763" w:rsidRDefault="00DB4BA8">
      <w:pPr>
        <w:spacing w:line="276" w:lineRule="auto"/>
        <w:ind w:left="35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Art. 76- Comp</w:t>
      </w:r>
      <w:r>
        <w:rPr>
          <w:rFonts w:ascii="Arial" w:eastAsia="Arial" w:hAnsi="Arial" w:cs="Arial"/>
          <w:sz w:val="26"/>
          <w:szCs w:val="26"/>
        </w:rPr>
        <w:t xml:space="preserve">ete à Comissão de Legislação e Justiça manifestar-se sobre todos os assuntos nos aspectos constitucional, redacional e legal </w:t>
      </w:r>
      <w:r>
        <w:rPr>
          <w:rFonts w:ascii="Arial" w:eastAsia="Arial" w:hAnsi="Arial" w:cs="Arial"/>
          <w:sz w:val="26"/>
          <w:szCs w:val="26"/>
        </w:rPr>
        <w:lastRenderedPageBreak/>
        <w:t>e, quando já aprovados pelo Plenário, analisá-los sob os aspectos lógico e gramatical, de modo a adequar ao bom vernáculo o texto d</w:t>
      </w:r>
      <w:r>
        <w:rPr>
          <w:rFonts w:ascii="Arial" w:eastAsia="Arial" w:hAnsi="Arial" w:cs="Arial"/>
          <w:sz w:val="26"/>
          <w:szCs w:val="26"/>
        </w:rPr>
        <w:t>as proposições.</w:t>
      </w:r>
    </w:p>
    <w:p w14:paraId="1CD1FBA4" w14:textId="77777777" w:rsidR="005E4763" w:rsidRDefault="00DB4BA8">
      <w:pPr>
        <w:spacing w:line="276" w:lineRule="auto"/>
        <w:ind w:left="35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3EAF72C2" w14:textId="77777777" w:rsidR="005E4763" w:rsidRDefault="005E4763">
      <w:pPr>
        <w:spacing w:line="276" w:lineRule="auto"/>
        <w:jc w:val="both"/>
        <w:rPr>
          <w:rFonts w:ascii="Arial" w:eastAsia="Arial" w:hAnsi="Arial" w:cs="Arial"/>
          <w:sz w:val="26"/>
          <w:szCs w:val="26"/>
        </w:rPr>
      </w:pPr>
    </w:p>
    <w:p w14:paraId="6BD24E72" w14:textId="77777777" w:rsidR="005E4763" w:rsidRDefault="005E4763">
      <w:pPr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</w:p>
    <w:p w14:paraId="7E1860AC" w14:textId="77777777" w:rsidR="005E4763" w:rsidRDefault="00DB4BA8">
      <w:pPr>
        <w:spacing w:line="360" w:lineRule="auto"/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CONSIDERAÇÕES FINAIS</w:t>
      </w:r>
    </w:p>
    <w:p w14:paraId="0841B108" w14:textId="77777777" w:rsidR="005E4763" w:rsidRDefault="005E4763">
      <w:pPr>
        <w:rPr>
          <w:rFonts w:ascii="Arial" w:eastAsia="Arial" w:hAnsi="Arial" w:cs="Arial"/>
          <w:sz w:val="26"/>
          <w:szCs w:val="26"/>
        </w:rPr>
      </w:pPr>
    </w:p>
    <w:p w14:paraId="5B312DD6" w14:textId="77777777" w:rsidR="005E4763" w:rsidRDefault="00DB4BA8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Em conformid</w:t>
      </w:r>
      <w:r>
        <w:rPr>
          <w:rFonts w:ascii="Arial" w:eastAsia="Arial" w:hAnsi="Arial" w:cs="Arial"/>
          <w:sz w:val="26"/>
          <w:szCs w:val="26"/>
        </w:rPr>
        <w:t xml:space="preserve">ade com os fundamentos normativos apresentados acima, encaminhamos o expediente ao prosseguimento </w:t>
      </w:r>
      <w:r>
        <w:rPr>
          <w:rFonts w:ascii="Arial" w:eastAsia="Arial" w:hAnsi="Arial" w:cs="Arial"/>
          <w:b/>
          <w:sz w:val="26"/>
          <w:szCs w:val="26"/>
          <w:u w:val="single"/>
        </w:rPr>
        <w:t>opinando pela viabilidade de tramitação,</w:t>
      </w:r>
      <w:r>
        <w:rPr>
          <w:rFonts w:ascii="Arial" w:eastAsia="Arial" w:hAnsi="Arial" w:cs="Arial"/>
          <w:b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eis que a matéria tratada na proposição está ao alcance do poder de iniciativa parlamentar</w:t>
      </w:r>
      <w:r>
        <w:rPr>
          <w:rFonts w:ascii="Arial" w:eastAsia="Arial" w:hAnsi="Arial" w:cs="Arial"/>
          <w:b/>
          <w:sz w:val="26"/>
          <w:szCs w:val="26"/>
          <w:u w:val="single"/>
        </w:rPr>
        <w:t>.</w:t>
      </w:r>
      <w:r>
        <w:rPr>
          <w:rFonts w:ascii="Arial" w:eastAsia="Arial" w:hAnsi="Arial" w:cs="Arial"/>
          <w:sz w:val="26"/>
          <w:szCs w:val="26"/>
        </w:rPr>
        <w:t xml:space="preserve"> Assevera-se, outrossim, q</w:t>
      </w:r>
      <w:r>
        <w:rPr>
          <w:rFonts w:ascii="Arial" w:eastAsia="Arial" w:hAnsi="Arial" w:cs="Arial"/>
          <w:sz w:val="26"/>
          <w:szCs w:val="26"/>
        </w:rPr>
        <w:t>ue o presente parecer tem natureza opinativa e não vincula a decisão das comissões. À conclusão superior, e com aprovação, encaminhem-se os autos à DIRETORIA LEGISLATIVA para as devidas diligências.</w:t>
      </w:r>
    </w:p>
    <w:p w14:paraId="08B851D9" w14:textId="77777777" w:rsidR="005E4763" w:rsidRDefault="005E4763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</w:p>
    <w:p w14:paraId="2228A2EA" w14:textId="4F77C4BE" w:rsidR="005E4763" w:rsidRDefault="00DB4BA8" w:rsidP="00C4306E">
      <w:pPr>
        <w:spacing w:line="360" w:lineRule="auto"/>
        <w:ind w:firstLine="708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Parecer exarado em 1</w:t>
      </w:r>
      <w:r w:rsidR="00C4306E">
        <w:rPr>
          <w:rFonts w:ascii="Arial" w:eastAsia="Arial" w:hAnsi="Arial" w:cs="Arial"/>
          <w:sz w:val="26"/>
          <w:szCs w:val="26"/>
        </w:rPr>
        <w:t>6</w:t>
      </w:r>
      <w:r>
        <w:rPr>
          <w:rFonts w:ascii="Arial" w:eastAsia="Arial" w:hAnsi="Arial" w:cs="Arial"/>
          <w:sz w:val="26"/>
          <w:szCs w:val="26"/>
        </w:rPr>
        <w:t xml:space="preserve"> de novembro de 2021</w:t>
      </w:r>
      <w:r w:rsidR="00C4306E">
        <w:rPr>
          <w:rFonts w:ascii="Arial" w:eastAsia="Arial" w:hAnsi="Arial" w:cs="Arial"/>
          <w:sz w:val="26"/>
          <w:szCs w:val="26"/>
        </w:rPr>
        <w:t>.</w:t>
      </w:r>
    </w:p>
    <w:p w14:paraId="0BFE9D83" w14:textId="77777777" w:rsidR="005E4763" w:rsidRDefault="005E4763" w:rsidP="00C4306E">
      <w:pPr>
        <w:spacing w:line="360" w:lineRule="auto"/>
        <w:ind w:firstLine="708"/>
        <w:jc w:val="center"/>
        <w:rPr>
          <w:rFonts w:ascii="Arial" w:eastAsia="Arial" w:hAnsi="Arial" w:cs="Arial"/>
          <w:sz w:val="26"/>
          <w:szCs w:val="26"/>
        </w:rPr>
      </w:pPr>
    </w:p>
    <w:p w14:paraId="434B2163" w14:textId="77777777" w:rsidR="005E4763" w:rsidRDefault="005E4763" w:rsidP="00C4306E">
      <w:pPr>
        <w:jc w:val="center"/>
        <w:rPr>
          <w:rFonts w:ascii="Arial" w:eastAsia="Arial" w:hAnsi="Arial" w:cs="Arial"/>
          <w:sz w:val="26"/>
          <w:szCs w:val="26"/>
        </w:rPr>
      </w:pPr>
    </w:p>
    <w:p w14:paraId="344CA623" w14:textId="77777777" w:rsidR="005E4763" w:rsidRDefault="005E4763" w:rsidP="00C4306E">
      <w:pPr>
        <w:jc w:val="center"/>
        <w:rPr>
          <w:rFonts w:ascii="Arial" w:eastAsia="Arial" w:hAnsi="Arial" w:cs="Arial"/>
          <w:sz w:val="26"/>
          <w:szCs w:val="26"/>
        </w:rPr>
      </w:pPr>
    </w:p>
    <w:p w14:paraId="7B8E5804" w14:textId="77777777" w:rsidR="005E4763" w:rsidRDefault="00DB4BA8" w:rsidP="00C4306E">
      <w:pPr>
        <w:jc w:val="center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João Roberto da Fonseca Junior</w:t>
      </w:r>
    </w:p>
    <w:p w14:paraId="1ED38059" w14:textId="77777777" w:rsidR="005E4763" w:rsidRDefault="00DB4BA8" w:rsidP="00C4306E">
      <w:pPr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Procurador Chefe</w:t>
      </w:r>
    </w:p>
    <w:p w14:paraId="32EFA994" w14:textId="77777777" w:rsidR="005E4763" w:rsidRDefault="00DB4BA8" w:rsidP="00C4306E">
      <w:pPr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OAB/RS 69.257</w:t>
      </w:r>
    </w:p>
    <w:sectPr w:rsidR="005E4763">
      <w:headerReference w:type="default" r:id="rId6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D87860" w14:textId="77777777" w:rsidR="00DB4BA8" w:rsidRDefault="00DB4BA8">
      <w:r>
        <w:separator/>
      </w:r>
    </w:p>
  </w:endnote>
  <w:endnote w:type="continuationSeparator" w:id="0">
    <w:p w14:paraId="631C4956" w14:textId="77777777" w:rsidR="00DB4BA8" w:rsidRDefault="00DB4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6F367" w14:textId="77777777" w:rsidR="00DB4BA8" w:rsidRDefault="00DB4BA8">
      <w:r>
        <w:separator/>
      </w:r>
    </w:p>
  </w:footnote>
  <w:footnote w:type="continuationSeparator" w:id="0">
    <w:p w14:paraId="18668726" w14:textId="77777777" w:rsidR="00DB4BA8" w:rsidRDefault="00DB4B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73054" w14:textId="77777777" w:rsidR="005E4763" w:rsidRDefault="00DB4BA8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4039ED49" wp14:editId="0950EE9A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59A5B857" w14:textId="77777777" w:rsidR="005E4763" w:rsidRDefault="00DB4BA8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459DD9CA" w14:textId="77777777" w:rsidR="005E4763" w:rsidRDefault="00DB4BA8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</w:t>
    </w:r>
    <w:r>
      <w:rPr>
        <w:rFonts w:ascii="Arial" w:eastAsia="Arial" w:hAnsi="Arial" w:cs="Arial"/>
        <w:color w:val="333333"/>
        <w:sz w:val="20"/>
        <w:szCs w:val="20"/>
      </w:rPr>
      <w:t>51) 3474-1887 / 3474-1226 - Fax: 3474-1081</w:t>
    </w:r>
  </w:p>
  <w:p w14:paraId="53B901B5" w14:textId="77777777" w:rsidR="005E4763" w:rsidRDefault="005E47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763"/>
    <w:rsid w:val="005E4763"/>
    <w:rsid w:val="00C4306E"/>
    <w:rsid w:val="00DB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807B5"/>
  <w15:docId w15:val="{594CF0AA-9E24-4E41-8206-841229FE5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645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2021-11-16T11:50:00Z</dcterms:created>
  <dcterms:modified xsi:type="dcterms:W3CDTF">2021-11-16T11:50:00Z</dcterms:modified>
</cp:coreProperties>
</file>